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D6123A1" w:rsidR="00A209D6" w:rsidRPr="00B266B0" w:rsidRDefault="00A209D6" w:rsidP="615B4D3E">
      <w:pPr>
        <w:pStyle w:val="Header"/>
        <w:tabs>
          <w:tab w:val="right" w:pos="9639"/>
        </w:tabs>
        <w:rPr>
          <w:noProof w:val="0"/>
          <w:sz w:val="24"/>
          <w:szCs w:val="24"/>
        </w:rPr>
      </w:pPr>
      <w:r w:rsidRPr="615B4D3E">
        <w:rPr>
          <w:noProof w:val="0"/>
          <w:sz w:val="24"/>
          <w:szCs w:val="24"/>
        </w:rPr>
        <w:t>3GPP TSG-RAN WG2 Meeting #</w:t>
      </w:r>
      <w:r w:rsidR="00C34E45" w:rsidRPr="615B4D3E">
        <w:rPr>
          <w:noProof w:val="0"/>
          <w:sz w:val="24"/>
          <w:szCs w:val="24"/>
        </w:rPr>
        <w:t>12</w:t>
      </w:r>
      <w:r w:rsidR="007F60D8" w:rsidRPr="615B4D3E">
        <w:rPr>
          <w:noProof w:val="0"/>
          <w:sz w:val="24"/>
          <w:szCs w:val="24"/>
        </w:rPr>
        <w:t>3</w:t>
      </w:r>
      <w:r>
        <w:tab/>
      </w:r>
      <w:r w:rsidRPr="615B4D3E">
        <w:rPr>
          <w:noProof w:val="0"/>
          <w:sz w:val="24"/>
          <w:szCs w:val="24"/>
        </w:rPr>
        <w:t>R2-</w:t>
      </w:r>
      <w:r w:rsidR="00EA5A1C" w:rsidRPr="615B4D3E">
        <w:rPr>
          <w:noProof w:val="0"/>
          <w:sz w:val="24"/>
          <w:szCs w:val="24"/>
        </w:rPr>
        <w:t>230</w:t>
      </w:r>
      <w:r w:rsidR="47E8015B" w:rsidRPr="615B4D3E">
        <w:rPr>
          <w:noProof w:val="0"/>
          <w:sz w:val="24"/>
          <w:szCs w:val="24"/>
        </w:rPr>
        <w:t>8513</w:t>
      </w:r>
    </w:p>
    <w:p w14:paraId="11776FA6" w14:textId="3080C5DB" w:rsidR="00A209D6" w:rsidRPr="00465587" w:rsidRDefault="007F60D8" w:rsidP="00A209D6">
      <w:pPr>
        <w:pStyle w:val="Header"/>
        <w:tabs>
          <w:tab w:val="right" w:pos="9639"/>
        </w:tabs>
        <w:rPr>
          <w:rFonts w:eastAsia="SimSun"/>
          <w:bCs/>
          <w:sz w:val="24"/>
          <w:szCs w:val="24"/>
          <w:lang w:eastAsia="zh-CN"/>
        </w:rPr>
      </w:pPr>
      <w:r>
        <w:rPr>
          <w:rFonts w:eastAsia="SimSun"/>
          <w:bCs/>
          <w:sz w:val="24"/>
          <w:szCs w:val="24"/>
          <w:lang w:eastAsia="zh-CN"/>
        </w:rPr>
        <w:t>Toulouse</w:t>
      </w:r>
      <w:r w:rsidR="00C34E45" w:rsidRPr="00F43286">
        <w:rPr>
          <w:rFonts w:eastAsia="SimSun"/>
          <w:bCs/>
          <w:sz w:val="24"/>
          <w:szCs w:val="24"/>
          <w:lang w:eastAsia="zh-CN"/>
        </w:rPr>
        <w:t xml:space="preserve">, </w:t>
      </w:r>
      <w:r>
        <w:rPr>
          <w:rFonts w:eastAsia="SimSun"/>
          <w:bCs/>
          <w:sz w:val="24"/>
          <w:szCs w:val="24"/>
          <w:lang w:eastAsia="zh-CN"/>
        </w:rPr>
        <w:t>France</w:t>
      </w:r>
      <w:r w:rsidR="00C34E45" w:rsidRPr="00F43286">
        <w:rPr>
          <w:rFonts w:eastAsia="SimSun"/>
          <w:bCs/>
          <w:sz w:val="24"/>
          <w:szCs w:val="24"/>
          <w:lang w:eastAsia="zh-CN"/>
        </w:rPr>
        <w:t>, 2</w:t>
      </w:r>
      <w:r>
        <w:rPr>
          <w:rFonts w:eastAsia="SimSun"/>
          <w:bCs/>
          <w:sz w:val="24"/>
          <w:szCs w:val="24"/>
          <w:lang w:eastAsia="zh-CN"/>
        </w:rPr>
        <w:t>1</w:t>
      </w:r>
      <w:r w:rsidR="00C34E45" w:rsidRPr="00F43286">
        <w:rPr>
          <w:rFonts w:eastAsia="SimSun"/>
          <w:bCs/>
          <w:sz w:val="24"/>
          <w:szCs w:val="24"/>
          <w:lang w:eastAsia="zh-CN"/>
        </w:rPr>
        <w:t>– 2</w:t>
      </w:r>
      <w:r>
        <w:rPr>
          <w:rFonts w:eastAsia="SimSun"/>
          <w:bCs/>
          <w:sz w:val="24"/>
          <w:szCs w:val="24"/>
          <w:lang w:eastAsia="zh-CN"/>
        </w:rPr>
        <w:t>5</w:t>
      </w:r>
      <w:r w:rsidR="00C34E45" w:rsidRPr="00F43286">
        <w:rPr>
          <w:rFonts w:eastAsia="SimSun"/>
          <w:bCs/>
          <w:sz w:val="24"/>
          <w:szCs w:val="24"/>
          <w:lang w:eastAsia="zh-CN"/>
        </w:rPr>
        <w:t xml:space="preserve"> </w:t>
      </w:r>
      <w:r>
        <w:rPr>
          <w:rFonts w:eastAsia="SimSun"/>
          <w:bCs/>
          <w:sz w:val="24"/>
          <w:szCs w:val="24"/>
          <w:lang w:eastAsia="zh-CN"/>
        </w:rPr>
        <w:t>August</w:t>
      </w:r>
      <w:r w:rsidR="00C34E45" w:rsidRPr="00F43286">
        <w:rPr>
          <w:rFonts w:eastAsia="SimSun"/>
          <w:bCs/>
          <w:sz w:val="24"/>
          <w:szCs w:val="24"/>
          <w:lang w:eastAsia="zh-CN"/>
        </w:rPr>
        <w:t xml:space="preserve"> 2023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EDA652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D4B28">
        <w:rPr>
          <w:rFonts w:cs="Arial"/>
          <w:b/>
          <w:bCs/>
          <w:sz w:val="24"/>
          <w:lang w:eastAsia="ja-JP"/>
        </w:rPr>
        <w:t>7</w:t>
      </w:r>
      <w:r>
        <w:rPr>
          <w:rFonts w:cs="Arial"/>
          <w:b/>
          <w:bCs/>
          <w:sz w:val="24"/>
          <w:lang w:eastAsia="ja-JP"/>
        </w:rPr>
        <w:t>.</w:t>
      </w:r>
      <w:r w:rsidR="003D4B28">
        <w:rPr>
          <w:rFonts w:cs="Arial"/>
          <w:b/>
          <w:bCs/>
          <w:sz w:val="24"/>
          <w:lang w:eastAsia="ja-JP"/>
        </w:rPr>
        <w:t>12</w:t>
      </w:r>
      <w:r>
        <w:rPr>
          <w:rFonts w:cs="Arial"/>
          <w:b/>
          <w:bCs/>
          <w:sz w:val="24"/>
          <w:lang w:eastAsia="ja-JP"/>
        </w:rPr>
        <w:t>.</w:t>
      </w:r>
      <w:r w:rsidR="003D4B28">
        <w:rPr>
          <w:rFonts w:cs="Arial"/>
          <w:b/>
          <w:bCs/>
          <w:sz w:val="24"/>
          <w:lang w:eastAsia="ja-JP"/>
        </w:rPr>
        <w:t>2</w:t>
      </w:r>
      <w:r w:rsidR="006861BE">
        <w:rPr>
          <w:rFonts w:cs="Arial"/>
          <w:b/>
          <w:bCs/>
          <w:sz w:val="24"/>
          <w:lang w:eastAsia="ja-JP"/>
        </w:rPr>
        <w:t>.1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471F4A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7317">
        <w:rPr>
          <w:rFonts w:ascii="Arial" w:hAnsi="Arial" w:cs="Arial"/>
          <w:b/>
          <w:bCs/>
          <w:sz w:val="24"/>
        </w:rPr>
        <w:t>Conditional handover enhancement for</w:t>
      </w:r>
      <w:r w:rsidR="008C38CB" w:rsidRPr="008C38CB">
        <w:rPr>
          <w:rFonts w:ascii="Arial" w:hAnsi="Arial" w:cs="Arial"/>
          <w:b/>
          <w:bCs/>
          <w:sz w:val="24"/>
        </w:rPr>
        <w:t xml:space="preserve"> mobile IAB</w:t>
      </w:r>
    </w:p>
    <w:p w14:paraId="25F387E8" w14:textId="03F58E2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D4B28" w:rsidRPr="00541CA4">
        <w:rPr>
          <w:rFonts w:ascii="Arial" w:hAnsi="Arial" w:cs="Arial"/>
          <w:b/>
          <w:bCs/>
          <w:sz w:val="24"/>
        </w:rPr>
        <w:t>NR_mobile_IAB-Core</w:t>
      </w:r>
      <w:r w:rsidR="003D4B28" w:rsidRPr="00112F1A">
        <w:rPr>
          <w:rFonts w:ascii="Arial" w:hAnsi="Arial" w:cs="Arial"/>
          <w:b/>
          <w:bCs/>
          <w:sz w:val="24"/>
        </w:rPr>
        <w:t xml:space="preserve"> </w:t>
      </w:r>
      <w:r w:rsidR="003D4B28">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3C98DFC0" w:rsidR="00A209D6" w:rsidRPr="006E13D1" w:rsidRDefault="00A209D6" w:rsidP="00A209D6">
      <w:pPr>
        <w:pStyle w:val="Heading1"/>
      </w:pPr>
      <w:r w:rsidRPr="006E13D1">
        <w:t>1</w:t>
      </w:r>
      <w:r w:rsidRPr="006E13D1">
        <w:tab/>
      </w:r>
      <w:r>
        <w:t>Introduction</w:t>
      </w:r>
    </w:p>
    <w:p w14:paraId="2CA21296" w14:textId="2A7C376D" w:rsidR="0039540E" w:rsidRDefault="00E573DF" w:rsidP="003D4B28">
      <w:r>
        <w:t xml:space="preserve">In this contribution we discuss </w:t>
      </w:r>
      <w:r w:rsidR="00493B04">
        <w:t xml:space="preserve">whether conditional handover should be enhanced for the mobile IAB full migration scenario by </w:t>
      </w:r>
      <w:r w:rsidR="00715F7F">
        <w:t>allowing on-board UEs to support the CondEvent T1 event from Rel-17 NTN</w:t>
      </w:r>
      <w:r w:rsidR="00F331D7">
        <w:t>.</w:t>
      </w:r>
    </w:p>
    <w:p w14:paraId="7D484B6E" w14:textId="399DE177" w:rsidR="009339CB" w:rsidRPr="006E13D1" w:rsidRDefault="009339CB" w:rsidP="009339CB">
      <w:pPr>
        <w:pStyle w:val="Heading1"/>
      </w:pPr>
      <w:r w:rsidRPr="006E13D1">
        <w:t>2</w:t>
      </w:r>
      <w:r w:rsidRPr="006E13D1">
        <w:tab/>
      </w:r>
      <w:r w:rsidR="003D4B28">
        <w:t>Discussion</w:t>
      </w:r>
    </w:p>
    <w:p w14:paraId="0EF6A3EE" w14:textId="77777777" w:rsidR="00E25446" w:rsidRPr="006E13D1" w:rsidRDefault="009339CB" w:rsidP="00E25446">
      <w:pPr>
        <w:pStyle w:val="Heading2"/>
      </w:pPr>
      <w:r>
        <w:t>2</w:t>
      </w:r>
      <w:r w:rsidRPr="006E13D1">
        <w:t>.1</w:t>
      </w:r>
      <w:r w:rsidRPr="006E13D1">
        <w:tab/>
      </w:r>
      <w:r w:rsidR="00E25446">
        <w:t>Conditional handover of on-board UEs</w:t>
      </w:r>
    </w:p>
    <w:p w14:paraId="2DD347F9" w14:textId="0551AC0B" w:rsidR="00C30373" w:rsidRDefault="00E25446" w:rsidP="00E25446">
      <w:r>
        <w:t>Earlier there were concerns that the full migration scenario could c</w:t>
      </w:r>
      <w:r w:rsidR="00B93A08">
        <w:t xml:space="preserve">ause problems in the way of </w:t>
      </w:r>
      <w:r w:rsidR="005B3051">
        <w:t xml:space="preserve">unwanted signalling storms or handover failures due </w:t>
      </w:r>
      <w:r w:rsidR="00FF536F">
        <w:t>to</w:t>
      </w:r>
      <w:r w:rsidR="00E90C57">
        <w:t xml:space="preserve"> </w:t>
      </w:r>
      <w:r w:rsidR="00C30373">
        <w:t>many</w:t>
      </w:r>
      <w:r>
        <w:t xml:space="preserve"> </w:t>
      </w:r>
      <w:r w:rsidR="00C30373">
        <w:t xml:space="preserve">on-board </w:t>
      </w:r>
      <w:r>
        <w:t xml:space="preserve">UEs </w:t>
      </w:r>
      <w:r w:rsidR="00FF536F">
        <w:t xml:space="preserve">being handed over </w:t>
      </w:r>
      <w:r>
        <w:t>from source to target logical DU in parallel with the IAB-MT handover.</w:t>
      </w:r>
    </w:p>
    <w:p w14:paraId="26FB9803" w14:textId="4FDC7341" w:rsidR="00E25446" w:rsidRDefault="00E25446" w:rsidP="00E25446">
      <w:r>
        <w:t xml:space="preserve">RAN2 considered several options for handover of on-board UEs in this scenario. One </w:t>
      </w:r>
      <w:r w:rsidR="00C30373">
        <w:t>way</w:t>
      </w:r>
      <w:r>
        <w:t xml:space="preserve"> to </w:t>
      </w:r>
      <w:r w:rsidR="00D364CD">
        <w:t>reduce too many</w:t>
      </w:r>
      <w:r>
        <w:t xml:space="preserve"> handover</w:t>
      </w:r>
      <w:r w:rsidR="001C6D6D">
        <w:t>s being triggered</w:t>
      </w:r>
      <w:r>
        <w:t xml:space="preserve"> </w:t>
      </w:r>
      <w:r w:rsidR="00D364CD">
        <w:t>simultaneously is</w:t>
      </w:r>
      <w:r w:rsidR="00075437">
        <w:t xml:space="preserve"> through</w:t>
      </w:r>
      <w:r>
        <w:t xml:space="preserve"> </w:t>
      </w:r>
      <w:r w:rsidR="001C6D6D">
        <w:t xml:space="preserve">the use of </w:t>
      </w:r>
      <w:r>
        <w:t>CHO (</w:t>
      </w:r>
      <w:r w:rsidR="00BB0BD3">
        <w:t>supported by</w:t>
      </w:r>
      <w:r>
        <w:t xml:space="preserve"> Rel-16 UEs</w:t>
      </w:r>
      <w:r w:rsidR="00BB0BD3">
        <w:t xml:space="preserve"> and later</w:t>
      </w:r>
      <w:r>
        <w:t>). Furthermore, in RAN2#121bis, it was discussed whether CondEvent T1</w:t>
      </w:r>
      <w:r w:rsidR="00D36F8C">
        <w:t xml:space="preserve"> </w:t>
      </w:r>
      <w:r w:rsidR="004A63EA">
        <w:t xml:space="preserve">(defined in Rel-17 for NTN-capable UEs) </w:t>
      </w:r>
      <w:r w:rsidR="00D36F8C">
        <w:t xml:space="preserve">could be </w:t>
      </w:r>
      <w:r w:rsidR="004A63EA">
        <w:t>extended to</w:t>
      </w:r>
      <w:r>
        <w:t xml:space="preserve"> Rel-18</w:t>
      </w:r>
      <w:r w:rsidR="004A63EA">
        <w:t xml:space="preserve"> TN</w:t>
      </w:r>
      <w:r>
        <w:t xml:space="preserve"> UEs</w:t>
      </w:r>
      <w:r w:rsidR="004A63EA">
        <w:t xml:space="preserve"> on-board a </w:t>
      </w:r>
      <w:r w:rsidR="00AA5FA4">
        <w:t>m</w:t>
      </w:r>
      <w:r w:rsidR="004A63EA">
        <w:t>IAB</w:t>
      </w:r>
      <w:r w:rsidR="00AA5FA4">
        <w:t xml:space="preserve"> node</w:t>
      </w:r>
      <w:r>
        <w:t xml:space="preserve"> to “spread out” </w:t>
      </w:r>
      <w:r w:rsidR="004A63EA">
        <w:t xml:space="preserve">the handover </w:t>
      </w:r>
      <w:r>
        <w:t>based on a timer.</w:t>
      </w:r>
    </w:p>
    <w:p w14:paraId="3F68D7FA" w14:textId="714CF93D" w:rsidR="00F331D7" w:rsidRPr="00F331D7" w:rsidRDefault="00F331D7" w:rsidP="00F331D7">
      <w:pPr>
        <w:pStyle w:val="Agreement"/>
        <w:pBdr>
          <w:top w:val="single" w:sz="4" w:space="1" w:color="auto"/>
          <w:left w:val="single" w:sz="4" w:space="4" w:color="auto"/>
          <w:bottom w:val="single" w:sz="4" w:space="1" w:color="auto"/>
          <w:right w:val="single" w:sz="4" w:space="4" w:color="auto"/>
        </w:pBdr>
        <w:spacing w:before="0" w:after="180"/>
        <w:ind w:left="357" w:hanging="357"/>
      </w:pPr>
      <w:r w:rsidRPr="00F331D7">
        <w:t>FFS: May support CHO with CondT1 if it is “for free”, i.e. if TS impact is just to slightly modify the description to make it also applicable to TN.</w:t>
      </w:r>
    </w:p>
    <w:p w14:paraId="1D03678F" w14:textId="253AD364" w:rsidR="00E25446" w:rsidRDefault="00E25446" w:rsidP="00E25446">
      <w:pPr>
        <w:rPr>
          <w:rFonts w:eastAsia="MS PGothic" w:cs="Arial"/>
          <w:szCs w:val="18"/>
        </w:rPr>
      </w:pPr>
      <w:r>
        <w:t xml:space="preserve">CondEvent T1 is triggered when a configured threshold </w:t>
      </w:r>
      <w:r>
        <w:rPr>
          <w:i/>
          <w:iCs/>
        </w:rPr>
        <w:t>t1-threshold</w:t>
      </w:r>
      <w:r>
        <w:t xml:space="preserve"> (defined as a specific UTC time in 10ms) has elapsed. CondEvent T1 is currently only applicable to NTN-capable UEs</w:t>
      </w:r>
      <w:r w:rsidR="003B5658">
        <w:t xml:space="preserve"> </w:t>
      </w:r>
      <w:r w:rsidR="003655D5">
        <w:t>supporting</w:t>
      </w:r>
      <w:r w:rsidR="003B5658">
        <w:t xml:space="preserve"> the capability</w:t>
      </w:r>
      <w:r w:rsidR="003655D5" w:rsidRPr="003655D5">
        <w:t xml:space="preserve"> </w:t>
      </w:r>
      <w:r w:rsidR="003655D5" w:rsidRPr="003655D5">
        <w:rPr>
          <w:i/>
          <w:iCs/>
        </w:rPr>
        <w:t>timeBasedCondHandover-r17</w:t>
      </w:r>
      <w:r w:rsidR="00A74BAC">
        <w:t>. H</w:t>
      </w:r>
      <w:r w:rsidR="00E56CC2">
        <w:t>owever, considering that</w:t>
      </w:r>
      <w:r>
        <w:t xml:space="preserve"> legacy UEs can already determine the current UTC time from the </w:t>
      </w:r>
      <w:r w:rsidRPr="00CE57C5">
        <w:rPr>
          <w:i/>
          <w:iCs/>
        </w:rPr>
        <w:t>timeInfoUTC</w:t>
      </w:r>
      <w:r>
        <w:t xml:space="preserve"> field broadcasted in SIB9</w:t>
      </w:r>
      <w:r w:rsidR="00E56CC2">
        <w:t xml:space="preserve">, it seems </w:t>
      </w:r>
      <w:r w:rsidR="00A74BAC">
        <w:t>like</w:t>
      </w:r>
      <w:r w:rsidR="00021F0D">
        <w:t>ly that</w:t>
      </w:r>
      <w:r w:rsidR="00A74BAC">
        <w:t xml:space="preserve"> there </w:t>
      </w:r>
      <w:r w:rsidR="00021F0D">
        <w:t>are</w:t>
      </w:r>
      <w:r w:rsidR="00A74BAC">
        <w:t xml:space="preserve"> no inherent technical </w:t>
      </w:r>
      <w:r w:rsidR="00021F0D">
        <w:t>issues</w:t>
      </w:r>
      <w:r w:rsidR="00A74BAC">
        <w:t xml:space="preserve"> that would prevent TN UEs from supporting this capability</w:t>
      </w:r>
      <w:r>
        <w:t xml:space="preserve">. Indeed, </w:t>
      </w:r>
      <w:r w:rsidR="00C949D8">
        <w:t>fo</w:t>
      </w:r>
      <w:r>
        <w:t>r Rel-18 TN UEs to support CondEvent T1</w:t>
      </w:r>
      <w:r w:rsidR="00C949D8">
        <w:t>, our understanding is that the required specification work</w:t>
      </w:r>
      <w:r>
        <w:t xml:space="preserve"> </w:t>
      </w:r>
      <w:r w:rsidR="009560B3">
        <w:t>with</w:t>
      </w:r>
      <w:r w:rsidR="004A4631">
        <w:t xml:space="preserve">in RAN2 </w:t>
      </w:r>
      <w:r>
        <w:t xml:space="preserve">would </w:t>
      </w:r>
      <w:r w:rsidR="00C949D8">
        <w:t xml:space="preserve">only </w:t>
      </w:r>
      <w:r>
        <w:t xml:space="preserve">be to remove certain restrictions </w:t>
      </w:r>
      <w:r w:rsidR="00021F0D">
        <w:t xml:space="preserve">(e.g. in 38.306, 38.331) </w:t>
      </w:r>
      <w:r w:rsidR="002F7F54">
        <w:t xml:space="preserve">that </w:t>
      </w:r>
      <w:r>
        <w:t>currently limit</w:t>
      </w:r>
      <w:r w:rsidR="002F7F54">
        <w:t xml:space="preserve"> </w:t>
      </w:r>
      <w:r>
        <w:t>this feature/capability to NTN UEs.</w:t>
      </w:r>
    </w:p>
    <w:p w14:paraId="26A8A2D5" w14:textId="15BF5B68" w:rsidR="00E25446" w:rsidRPr="00D63409" w:rsidRDefault="00E25446" w:rsidP="00E25446">
      <w:r w:rsidRPr="00995348">
        <w:rPr>
          <w:b/>
          <w:bCs/>
        </w:rPr>
        <w:t xml:space="preserve">Observation </w:t>
      </w:r>
      <w:r>
        <w:rPr>
          <w:b/>
          <w:bCs/>
        </w:rPr>
        <w:t>1</w:t>
      </w:r>
      <w:r>
        <w:t>: Rel-18 TN UEs can likely support CondEvent T1 with small specification effort</w:t>
      </w:r>
      <w:r w:rsidR="009560B3">
        <w:t xml:space="preserve"> within RAN2</w:t>
      </w:r>
      <w:r>
        <w:t>.</w:t>
      </w:r>
    </w:p>
    <w:p w14:paraId="2E7B7C9A" w14:textId="00D069A8" w:rsidR="00E25446" w:rsidRDefault="00E25446" w:rsidP="00E25446">
      <w:pPr>
        <w:rPr>
          <w:rFonts w:eastAsia="MS PGothic" w:cs="Arial"/>
          <w:szCs w:val="18"/>
        </w:rPr>
      </w:pPr>
      <w:r>
        <w:rPr>
          <w:rFonts w:eastAsia="MS PGothic" w:cs="Arial"/>
          <w:szCs w:val="18"/>
        </w:rPr>
        <w:t>On the other hand, in the mIAB context, the overall benefit from Rel-18 TN UEs supporting CondEvent T1 could be quite small. Recalling why CHO was originally discussed in this context, the purpose was to minimize signalling storms and/or connection failures associated with simultaneous handovers of connected UEs during full migration.</w:t>
      </w:r>
    </w:p>
    <w:p w14:paraId="5267F4C3" w14:textId="77777777" w:rsidR="00E25446" w:rsidRDefault="00E25446" w:rsidP="00E25446">
      <w:pPr>
        <w:rPr>
          <w:rFonts w:eastAsia="MS PGothic" w:cs="Arial"/>
          <w:szCs w:val="18"/>
        </w:rPr>
      </w:pPr>
      <w:r>
        <w:rPr>
          <w:rFonts w:eastAsia="MS PGothic" w:cs="Arial"/>
          <w:szCs w:val="18"/>
        </w:rPr>
        <w:t>However, in RAN2#119bis, it was agreed (</w:t>
      </w:r>
      <w:hyperlink r:id="rId13" w:history="1">
        <w:r w:rsidRPr="00811098">
          <w:rPr>
            <w:rStyle w:val="Hyperlink"/>
            <w:rFonts w:eastAsia="MS PGothic" w:cs="Arial"/>
            <w:szCs w:val="18"/>
          </w:rPr>
          <w:t>R2-2211101</w:t>
        </w:r>
      </w:hyperlink>
      <w:r>
        <w:rPr>
          <w:rFonts w:eastAsia="MS PGothic" w:cs="Arial"/>
          <w:szCs w:val="18"/>
        </w:rPr>
        <w:t>):</w:t>
      </w:r>
    </w:p>
    <w:p w14:paraId="7925CE5A" w14:textId="77777777" w:rsidR="00E25446" w:rsidRPr="00341B7C" w:rsidRDefault="00E25446" w:rsidP="00E25446">
      <w:pPr>
        <w:pStyle w:val="Agreement"/>
        <w:pBdr>
          <w:top w:val="single" w:sz="4" w:space="1" w:color="auto"/>
          <w:left w:val="single" w:sz="4" w:space="4" w:color="auto"/>
          <w:bottom w:val="single" w:sz="4" w:space="1" w:color="auto"/>
          <w:right w:val="single" w:sz="4" w:space="4" w:color="auto"/>
        </w:pBdr>
        <w:spacing w:before="0" w:after="180"/>
        <w:ind w:left="357" w:hanging="357"/>
      </w:pPr>
      <w:r w:rsidRPr="00341B7C">
        <w:t xml:space="preserve">RAN2 focuses on the scenario where, during full migration, the UE sees the </w:t>
      </w:r>
      <w:r w:rsidRPr="00341B7C">
        <w:rPr>
          <w:rFonts w:cstheme="minorHAnsi"/>
        </w:rPr>
        <w:t>two logical DU cells as different physical cells (e.g. with different PCI if same carrier), and where the two logical DU cells use separate physical resources (i.e., different carriers, or orthogonal time and frequency resources of the same carrier, as supported by legacy L1).</w:t>
      </w:r>
    </w:p>
    <w:p w14:paraId="3A6A5A04" w14:textId="77777777" w:rsidR="00E25446" w:rsidRDefault="00E25446" w:rsidP="00E25446">
      <w:pPr>
        <w:rPr>
          <w:rFonts w:eastAsia="MS PGothic" w:cs="Arial"/>
          <w:szCs w:val="18"/>
        </w:rPr>
      </w:pPr>
      <w:r>
        <w:rPr>
          <w:rFonts w:eastAsia="MS PGothic" w:cs="Arial"/>
          <w:szCs w:val="18"/>
        </w:rPr>
        <w:t xml:space="preserve">And, in RAN3#119 it was agreed </w:t>
      </w:r>
      <w:hyperlink r:id="rId14" w:history="1">
        <w:r w:rsidRPr="00811098">
          <w:rPr>
            <w:rStyle w:val="Hyperlink"/>
            <w:rFonts w:eastAsia="MS PGothic" w:cs="Arial"/>
            <w:szCs w:val="18"/>
          </w:rPr>
          <w:t>(R3-231101</w:t>
        </w:r>
      </w:hyperlink>
      <w:r>
        <w:rPr>
          <w:rFonts w:eastAsia="MS PGothic" w:cs="Arial"/>
          <w:szCs w:val="18"/>
        </w:rPr>
        <w:t>):</w:t>
      </w:r>
    </w:p>
    <w:p w14:paraId="1D0C2718" w14:textId="77777777" w:rsidR="00E25446" w:rsidRDefault="00E25446" w:rsidP="00E25446">
      <w:pPr>
        <w:widowControl w:val="0"/>
        <w:pBdr>
          <w:top w:val="single" w:sz="4" w:space="1" w:color="auto"/>
          <w:left w:val="single" w:sz="4" w:space="4" w:color="auto"/>
          <w:bottom w:val="single" w:sz="4" w:space="1" w:color="auto"/>
          <w:right w:val="single" w:sz="4" w:space="4" w:color="auto"/>
        </w:pBdr>
        <w:ind w:left="144" w:hanging="144"/>
        <w:rPr>
          <w:b/>
          <w:color w:val="008000"/>
        </w:rPr>
      </w:pPr>
      <w:r>
        <w:rPr>
          <w:b/>
          <w:bCs/>
          <w:color w:val="007434"/>
          <w:u w:val="single"/>
        </w:rPr>
        <w:t xml:space="preserve">Agreements: </w:t>
      </w:r>
      <w:r>
        <w:rPr>
          <w:b/>
          <w:color w:val="008000"/>
        </w:rPr>
        <w:t xml:space="preserve">The HO of UEs from the source logical mIAB-DU´s CU to the target logical mIAB-DU´s CU should happen after the completion of the F1 setup. When to trigger the HO is up to source logical mIAB-DU´s CU </w:t>
      </w:r>
      <w:r>
        <w:rPr>
          <w:b/>
          <w:color w:val="008000"/>
        </w:rPr>
        <w:lastRenderedPageBreak/>
        <w:t>implementation.</w:t>
      </w:r>
    </w:p>
    <w:p w14:paraId="76447CD0" w14:textId="77777777" w:rsidR="00E25446" w:rsidRDefault="00E25446" w:rsidP="00E25446">
      <w:pPr>
        <w:rPr>
          <w:rFonts w:eastAsia="MS PGothic" w:cs="Arial"/>
          <w:szCs w:val="18"/>
        </w:rPr>
      </w:pPr>
      <w:r>
        <w:rPr>
          <w:rFonts w:eastAsia="MS PGothic" w:cs="Arial"/>
          <w:szCs w:val="18"/>
        </w:rPr>
        <w:t>Additionally, an earlier agreement from RAN3#117bis states (</w:t>
      </w:r>
      <w:hyperlink r:id="rId15" w:history="1">
        <w:r w:rsidRPr="00325E76">
          <w:rPr>
            <w:rStyle w:val="Hyperlink"/>
            <w:rFonts w:eastAsia="MS PGothic" w:cs="Arial"/>
            <w:szCs w:val="18"/>
          </w:rPr>
          <w:t>R3-226101</w:t>
        </w:r>
      </w:hyperlink>
      <w:r>
        <w:rPr>
          <w:rFonts w:eastAsia="MS PGothic" w:cs="Arial"/>
          <w:szCs w:val="18"/>
        </w:rPr>
        <w:t>):</w:t>
      </w:r>
    </w:p>
    <w:p w14:paraId="3C752123" w14:textId="77777777" w:rsidR="00E25446" w:rsidRDefault="00E25446" w:rsidP="00E25446">
      <w:pPr>
        <w:pBdr>
          <w:top w:val="single" w:sz="4" w:space="1" w:color="auto"/>
          <w:left w:val="single" w:sz="4" w:space="4" w:color="auto"/>
          <w:bottom w:val="single" w:sz="4" w:space="1" w:color="auto"/>
          <w:right w:val="single" w:sz="4" w:space="4" w:color="auto"/>
        </w:pBdr>
        <w:rPr>
          <w:rFonts w:eastAsia="MS PGothic" w:cs="Arial"/>
          <w:szCs w:val="18"/>
        </w:rPr>
      </w:pPr>
      <w:r>
        <w:rPr>
          <w:b/>
          <w:bCs/>
          <w:color w:val="007434"/>
        </w:rPr>
        <w:t>mIAB-DU migration and mIAB-MT handover can be executed independently from each other.</w:t>
      </w:r>
    </w:p>
    <w:p w14:paraId="74851301" w14:textId="66AA0BEB" w:rsidR="00E25446" w:rsidRDefault="00E25446" w:rsidP="00E25446">
      <w:pPr>
        <w:rPr>
          <w:rFonts w:eastAsia="MS PGothic" w:cs="Arial"/>
          <w:szCs w:val="18"/>
        </w:rPr>
      </w:pPr>
      <w:r>
        <w:rPr>
          <w:rFonts w:eastAsia="MS PGothic" w:cs="Arial"/>
          <w:szCs w:val="18"/>
        </w:rPr>
        <w:t xml:space="preserve">These agreements imply that the cells of the source and target logical DUs could be active simultaneously and will be perceived as distinct cells by connected UEs, and further that there is no coupling of the IAB-MT HO with the handover of on-board UEs. Together, these </w:t>
      </w:r>
      <w:r w:rsidR="00536C9E">
        <w:rPr>
          <w:rFonts w:eastAsia="MS PGothic" w:cs="Arial"/>
          <w:szCs w:val="18"/>
        </w:rPr>
        <w:t xml:space="preserve">already </w:t>
      </w:r>
      <w:r>
        <w:rPr>
          <w:rFonts w:eastAsia="MS PGothic" w:cs="Arial"/>
          <w:szCs w:val="18"/>
        </w:rPr>
        <w:t xml:space="preserve">mitigate the risk of handover failures (at least there is no more risk than inter-CU handover in a stationary network). Furthermore, based on the </w:t>
      </w:r>
      <w:r w:rsidR="00787595">
        <w:rPr>
          <w:rFonts w:eastAsia="MS PGothic" w:cs="Arial"/>
          <w:szCs w:val="18"/>
        </w:rPr>
        <w:t xml:space="preserve">above </w:t>
      </w:r>
      <w:r>
        <w:rPr>
          <w:rFonts w:eastAsia="MS PGothic" w:cs="Arial"/>
          <w:szCs w:val="18"/>
        </w:rPr>
        <w:t xml:space="preserve">agreement </w:t>
      </w:r>
      <w:r w:rsidR="00787595">
        <w:rPr>
          <w:rFonts w:eastAsia="MS PGothic" w:cs="Arial"/>
          <w:szCs w:val="18"/>
        </w:rPr>
        <w:t>from</w:t>
      </w:r>
      <w:r>
        <w:rPr>
          <w:rFonts w:eastAsia="MS PGothic" w:cs="Arial"/>
          <w:szCs w:val="18"/>
        </w:rPr>
        <w:t xml:space="preserve"> RAN3#119, the source logical DU’s donor CU could “spread out” the handover triggers for different UEs (i.e. to hand UEs over sequentially) in order to minimize signalling storms.</w:t>
      </w:r>
    </w:p>
    <w:p w14:paraId="7DA0863E" w14:textId="7EEF2193" w:rsidR="00265BB8" w:rsidRDefault="00265BB8" w:rsidP="00E25446">
      <w:pPr>
        <w:rPr>
          <w:rFonts w:eastAsia="MS PGothic" w:cs="Arial"/>
          <w:szCs w:val="18"/>
        </w:rPr>
      </w:pPr>
      <w:r w:rsidRPr="00387F23">
        <w:rPr>
          <w:rFonts w:eastAsia="MS PGothic" w:cs="Arial"/>
          <w:b/>
          <w:bCs/>
          <w:szCs w:val="18"/>
        </w:rPr>
        <w:t>Observation 2</w:t>
      </w:r>
      <w:r>
        <w:rPr>
          <w:rFonts w:eastAsia="MS PGothic" w:cs="Arial"/>
          <w:szCs w:val="18"/>
        </w:rPr>
        <w:t xml:space="preserve">: </w:t>
      </w:r>
      <w:r w:rsidR="00387F23">
        <w:rPr>
          <w:rFonts w:eastAsia="MS PGothic" w:cs="Arial"/>
          <w:szCs w:val="18"/>
        </w:rPr>
        <w:t xml:space="preserve">Based on </w:t>
      </w:r>
      <w:r w:rsidR="0057303F">
        <w:rPr>
          <w:rFonts w:eastAsia="MS PGothic" w:cs="Arial"/>
          <w:szCs w:val="18"/>
        </w:rPr>
        <w:t>existing</w:t>
      </w:r>
      <w:r w:rsidR="00387F23">
        <w:rPr>
          <w:rFonts w:eastAsia="MS PGothic" w:cs="Arial"/>
          <w:szCs w:val="18"/>
        </w:rPr>
        <w:t xml:space="preserve"> agreements </w:t>
      </w:r>
      <w:r w:rsidR="0057303F">
        <w:rPr>
          <w:rFonts w:eastAsia="MS PGothic" w:cs="Arial"/>
          <w:szCs w:val="18"/>
        </w:rPr>
        <w:t xml:space="preserve">in </w:t>
      </w:r>
      <w:r w:rsidR="00387F23">
        <w:rPr>
          <w:rFonts w:eastAsia="MS PGothic" w:cs="Arial"/>
          <w:szCs w:val="18"/>
        </w:rPr>
        <w:t>RAN2 and RAN3, s</w:t>
      </w:r>
      <w:r>
        <w:rPr>
          <w:rFonts w:eastAsia="MS PGothic" w:cs="Arial"/>
          <w:szCs w:val="18"/>
        </w:rPr>
        <w:t>ignalling storms</w:t>
      </w:r>
      <w:r w:rsidR="00387F23">
        <w:rPr>
          <w:rFonts w:eastAsia="MS PGothic" w:cs="Arial"/>
          <w:szCs w:val="18"/>
        </w:rPr>
        <w:t xml:space="preserve"> can already be </w:t>
      </w:r>
      <w:r w:rsidR="00890745">
        <w:rPr>
          <w:rFonts w:eastAsia="MS PGothic" w:cs="Arial"/>
          <w:szCs w:val="18"/>
        </w:rPr>
        <w:t>mitigated</w:t>
      </w:r>
      <w:r w:rsidR="00387F23">
        <w:rPr>
          <w:rFonts w:eastAsia="MS PGothic" w:cs="Arial"/>
          <w:szCs w:val="18"/>
        </w:rPr>
        <w:t xml:space="preserve"> during full migration.</w:t>
      </w:r>
    </w:p>
    <w:p w14:paraId="3036FEA8" w14:textId="77777777" w:rsidR="00E25446" w:rsidRDefault="00E25446" w:rsidP="00E25446">
      <w:pPr>
        <w:rPr>
          <w:rFonts w:eastAsia="MS PGothic" w:cs="Arial"/>
          <w:szCs w:val="18"/>
        </w:rPr>
      </w:pPr>
      <w:r>
        <w:rPr>
          <w:rFonts w:eastAsia="MS PGothic" w:cs="Arial"/>
          <w:szCs w:val="18"/>
        </w:rPr>
        <w:t>Considering the above, the motivation for supporting CondEvent T1 in Rel-18 TN UEs is still not very clear. Even if it is supported, the overall benefit could be quite small anyways since a relatively small number of UEs connected to the mobile IAB node would support it.</w:t>
      </w:r>
    </w:p>
    <w:p w14:paraId="48D43F15" w14:textId="0D313543" w:rsidR="00E25446" w:rsidRDefault="00E25446" w:rsidP="00E25446">
      <w:pPr>
        <w:rPr>
          <w:rFonts w:eastAsia="MS PGothic" w:cs="Arial"/>
          <w:szCs w:val="18"/>
        </w:rPr>
      </w:pPr>
      <w:r w:rsidRPr="00D15895">
        <w:rPr>
          <w:rFonts w:eastAsia="MS PGothic" w:cs="Arial"/>
          <w:b/>
          <w:bCs/>
          <w:szCs w:val="18"/>
        </w:rPr>
        <w:t xml:space="preserve">Observation </w:t>
      </w:r>
      <w:r w:rsidR="00890745">
        <w:rPr>
          <w:rFonts w:eastAsia="MS PGothic" w:cs="Arial"/>
          <w:b/>
          <w:bCs/>
          <w:szCs w:val="18"/>
        </w:rPr>
        <w:t>3</w:t>
      </w:r>
      <w:r>
        <w:rPr>
          <w:rFonts w:eastAsia="MS PGothic" w:cs="Arial"/>
          <w:szCs w:val="18"/>
        </w:rPr>
        <w:t>:</w:t>
      </w:r>
      <w:r w:rsidR="00890745">
        <w:rPr>
          <w:rFonts w:eastAsia="MS PGothic" w:cs="Arial"/>
          <w:szCs w:val="18"/>
        </w:rPr>
        <w:t xml:space="preserve"> T</w:t>
      </w:r>
      <w:r>
        <w:rPr>
          <w:rFonts w:eastAsia="MS PGothic" w:cs="Arial"/>
          <w:szCs w:val="18"/>
        </w:rPr>
        <w:t>he overall motivation for and benefit from Rel-18 TN UEs supporting CondEvent T1 is still not very clear.</w:t>
      </w:r>
    </w:p>
    <w:p w14:paraId="1A8860DB" w14:textId="15AE77AB" w:rsidR="001B3504" w:rsidRPr="001F710D" w:rsidRDefault="00E25446" w:rsidP="001B3504">
      <w:pPr>
        <w:rPr>
          <w:rFonts w:eastAsia="MS PGothic" w:cs="Arial"/>
          <w:b/>
          <w:bCs/>
          <w:szCs w:val="18"/>
        </w:rPr>
      </w:pPr>
      <w:r w:rsidRPr="00E25446">
        <w:rPr>
          <w:rFonts w:eastAsia="MS PGothic" w:cs="Arial"/>
          <w:b/>
          <w:bCs/>
          <w:szCs w:val="18"/>
        </w:rPr>
        <w:t xml:space="preserve">Proposal </w:t>
      </w:r>
      <w:r>
        <w:rPr>
          <w:rFonts w:eastAsia="MS PGothic" w:cs="Arial"/>
          <w:b/>
          <w:bCs/>
          <w:szCs w:val="18"/>
        </w:rPr>
        <w:t>1</w:t>
      </w:r>
      <w:r w:rsidRPr="00E25446">
        <w:rPr>
          <w:rFonts w:eastAsia="MS PGothic" w:cs="Arial"/>
          <w:b/>
          <w:bCs/>
          <w:szCs w:val="18"/>
        </w:rPr>
        <w:t xml:space="preserve">: </w:t>
      </w:r>
      <w:r w:rsidRPr="001F710D">
        <w:rPr>
          <w:rFonts w:eastAsia="MS PGothic" w:cs="Arial"/>
          <w:szCs w:val="18"/>
        </w:rPr>
        <w:t>RAN2 does not agree to support CondEvent T1 for Rel-18 TN UEs until benefits are better understood</w:t>
      </w:r>
      <w:r w:rsidR="001F710D" w:rsidRPr="001F710D">
        <w:rPr>
          <w:rFonts w:eastAsia="MS PGothic" w:cs="Arial"/>
          <w:szCs w:val="18"/>
        </w:rPr>
        <w:t>.</w:t>
      </w:r>
    </w:p>
    <w:p w14:paraId="69B7B8E6" w14:textId="345F1D02" w:rsidR="009339CB" w:rsidRPr="006E13D1" w:rsidRDefault="005A13AB" w:rsidP="009339CB">
      <w:pPr>
        <w:pStyle w:val="Heading1"/>
      </w:pPr>
      <w:r>
        <w:t>3</w:t>
      </w:r>
      <w:r w:rsidR="009339CB" w:rsidRPr="006E13D1">
        <w:tab/>
      </w:r>
      <w:r w:rsidR="009339CB">
        <w:t>Conclusion</w:t>
      </w:r>
    </w:p>
    <w:p w14:paraId="4CF1FBF9" w14:textId="77777777" w:rsidR="003D4B28" w:rsidRPr="006E13D1" w:rsidRDefault="003D4B28" w:rsidP="003D4B28">
      <w:r>
        <w:t>This document has made the following observations:</w:t>
      </w:r>
    </w:p>
    <w:p w14:paraId="043EE337" w14:textId="77777777" w:rsidR="00A15F6F" w:rsidRPr="00D63409" w:rsidRDefault="00A15F6F" w:rsidP="00A15F6F">
      <w:r w:rsidRPr="00995348">
        <w:rPr>
          <w:b/>
          <w:bCs/>
        </w:rPr>
        <w:t xml:space="preserve">Observation </w:t>
      </w:r>
      <w:r>
        <w:rPr>
          <w:b/>
          <w:bCs/>
        </w:rPr>
        <w:t>1</w:t>
      </w:r>
      <w:r>
        <w:t>: Rel-18 TN UEs can likely support CondEvent T1 with small specification effort within RAN2.</w:t>
      </w:r>
    </w:p>
    <w:p w14:paraId="5263DCE4" w14:textId="1DDAEEF5" w:rsidR="00A15F6F" w:rsidRDefault="00A15F6F" w:rsidP="00A15F6F">
      <w:pPr>
        <w:rPr>
          <w:rFonts w:eastAsia="MS PGothic" w:cs="Arial"/>
          <w:szCs w:val="18"/>
        </w:rPr>
      </w:pPr>
      <w:r w:rsidRPr="00387F23">
        <w:rPr>
          <w:rFonts w:eastAsia="MS PGothic" w:cs="Arial"/>
          <w:b/>
          <w:bCs/>
          <w:szCs w:val="18"/>
        </w:rPr>
        <w:t>Observation 2</w:t>
      </w:r>
      <w:r>
        <w:rPr>
          <w:rFonts w:eastAsia="MS PGothic" w:cs="Arial"/>
          <w:szCs w:val="18"/>
        </w:rPr>
        <w:t xml:space="preserve">: Based on </w:t>
      </w:r>
      <w:r w:rsidR="0057303F">
        <w:rPr>
          <w:rFonts w:eastAsia="MS PGothic" w:cs="Arial"/>
          <w:szCs w:val="18"/>
        </w:rPr>
        <w:t>existing</w:t>
      </w:r>
      <w:r>
        <w:rPr>
          <w:rFonts w:eastAsia="MS PGothic" w:cs="Arial"/>
          <w:szCs w:val="18"/>
        </w:rPr>
        <w:t xml:space="preserve"> agreements </w:t>
      </w:r>
      <w:r w:rsidR="0057303F">
        <w:rPr>
          <w:rFonts w:eastAsia="MS PGothic" w:cs="Arial"/>
          <w:szCs w:val="18"/>
        </w:rPr>
        <w:t xml:space="preserve">in </w:t>
      </w:r>
      <w:r>
        <w:rPr>
          <w:rFonts w:eastAsia="MS PGothic" w:cs="Arial"/>
          <w:szCs w:val="18"/>
        </w:rPr>
        <w:t>RAN2 and RAN3, signalling storms can already be mitigated during full migration.</w:t>
      </w:r>
    </w:p>
    <w:p w14:paraId="47A87B23" w14:textId="77777777" w:rsidR="00A15F6F" w:rsidRDefault="00A15F6F" w:rsidP="00A15F6F">
      <w:pPr>
        <w:rPr>
          <w:rFonts w:eastAsia="MS PGothic" w:cs="Arial"/>
          <w:szCs w:val="18"/>
        </w:rPr>
      </w:pPr>
      <w:r w:rsidRPr="00D15895">
        <w:rPr>
          <w:rFonts w:eastAsia="MS PGothic" w:cs="Arial"/>
          <w:b/>
          <w:bCs/>
          <w:szCs w:val="18"/>
        </w:rPr>
        <w:t xml:space="preserve">Observation </w:t>
      </w:r>
      <w:r>
        <w:rPr>
          <w:rFonts w:eastAsia="MS PGothic" w:cs="Arial"/>
          <w:b/>
          <w:bCs/>
          <w:szCs w:val="18"/>
        </w:rPr>
        <w:t>3</w:t>
      </w:r>
      <w:r>
        <w:rPr>
          <w:rFonts w:eastAsia="MS PGothic" w:cs="Arial"/>
          <w:szCs w:val="18"/>
        </w:rPr>
        <w:t>: The overall motivation for and benefit from Rel-18 TN UEs supporting CondEvent T1 is still not very clear.</w:t>
      </w:r>
    </w:p>
    <w:p w14:paraId="67705001" w14:textId="77777777" w:rsidR="003D4B28" w:rsidRPr="004F4540" w:rsidRDefault="003D4B28" w:rsidP="003D4B28">
      <w:pPr>
        <w:rPr>
          <w:bCs/>
        </w:rPr>
      </w:pPr>
      <w:r>
        <w:rPr>
          <w:bCs/>
        </w:rPr>
        <w:t>And proposed the following:</w:t>
      </w:r>
    </w:p>
    <w:p w14:paraId="17A683D1" w14:textId="7F2936F4" w:rsidR="001E68CA" w:rsidRPr="00191B8C" w:rsidRDefault="00A15F6F" w:rsidP="009339CB">
      <w:pPr>
        <w:rPr>
          <w:rFonts w:eastAsia="MS PGothic" w:cs="Arial"/>
          <w:b/>
          <w:bCs/>
          <w:szCs w:val="18"/>
        </w:rPr>
      </w:pPr>
      <w:r w:rsidRPr="00E25446">
        <w:rPr>
          <w:rFonts w:eastAsia="MS PGothic" w:cs="Arial"/>
          <w:b/>
          <w:bCs/>
          <w:szCs w:val="18"/>
        </w:rPr>
        <w:t xml:space="preserve">Proposal </w:t>
      </w:r>
      <w:r>
        <w:rPr>
          <w:rFonts w:eastAsia="MS PGothic" w:cs="Arial"/>
          <w:b/>
          <w:bCs/>
          <w:szCs w:val="18"/>
        </w:rPr>
        <w:t>1</w:t>
      </w:r>
      <w:r w:rsidRPr="00E25446">
        <w:rPr>
          <w:rFonts w:eastAsia="MS PGothic" w:cs="Arial"/>
          <w:b/>
          <w:bCs/>
          <w:szCs w:val="18"/>
        </w:rPr>
        <w:t xml:space="preserve">: </w:t>
      </w:r>
      <w:r w:rsidRPr="001F710D">
        <w:rPr>
          <w:rFonts w:eastAsia="MS PGothic" w:cs="Arial"/>
          <w:szCs w:val="18"/>
        </w:rPr>
        <w:t>RAN2 does not agree to support CondEvent T1 for Rel-18 TN UEs until benefits are better understood.</w:t>
      </w:r>
    </w:p>
    <w:p w14:paraId="35F222F4" w14:textId="77777777" w:rsidR="00080512" w:rsidRPr="00A209D6" w:rsidRDefault="00080512" w:rsidP="009339CB"/>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43990" w14:textId="77777777" w:rsidR="00FA576A" w:rsidRDefault="00FA576A">
      <w:r>
        <w:separator/>
      </w:r>
    </w:p>
  </w:endnote>
  <w:endnote w:type="continuationSeparator" w:id="0">
    <w:p w14:paraId="0CE76854" w14:textId="77777777" w:rsidR="00FA576A" w:rsidRDefault="00FA576A">
      <w:r>
        <w:continuationSeparator/>
      </w:r>
    </w:p>
  </w:endnote>
  <w:endnote w:type="continuationNotice" w:id="1">
    <w:p w14:paraId="44E4F821" w14:textId="77777777" w:rsidR="00FA576A" w:rsidRDefault="00FA5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33442" w14:textId="77777777" w:rsidR="00FA576A" w:rsidRDefault="00FA576A">
      <w:r>
        <w:separator/>
      </w:r>
    </w:p>
  </w:footnote>
  <w:footnote w:type="continuationSeparator" w:id="0">
    <w:p w14:paraId="36ED5B2B" w14:textId="77777777" w:rsidR="00FA576A" w:rsidRDefault="00FA576A">
      <w:r>
        <w:continuationSeparator/>
      </w:r>
    </w:p>
  </w:footnote>
  <w:footnote w:type="continuationNotice" w:id="1">
    <w:p w14:paraId="0CCBD534" w14:textId="77777777" w:rsidR="00FA576A" w:rsidRDefault="00FA57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7D059A"/>
    <w:multiLevelType w:val="hybridMultilevel"/>
    <w:tmpl w:val="B8B0C71A"/>
    <w:lvl w:ilvl="0" w:tplc="DC2E7A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E5095C"/>
    <w:multiLevelType w:val="hybridMultilevel"/>
    <w:tmpl w:val="4A704008"/>
    <w:lvl w:ilvl="0" w:tplc="7800387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2A8A2736"/>
    <w:multiLevelType w:val="hybridMultilevel"/>
    <w:tmpl w:val="5D38C818"/>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053834"/>
    <w:multiLevelType w:val="hybridMultilevel"/>
    <w:tmpl w:val="8BEC3F34"/>
    <w:lvl w:ilvl="0" w:tplc="FFFFFFF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41B072C"/>
    <w:multiLevelType w:val="hybridMultilevel"/>
    <w:tmpl w:val="5D38C818"/>
    <w:lvl w:ilvl="0" w:tplc="7800387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47F301B2"/>
    <w:multiLevelType w:val="hybridMultilevel"/>
    <w:tmpl w:val="7AEE6BC0"/>
    <w:lvl w:ilvl="0" w:tplc="FFFFFFF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06E5DDB"/>
    <w:multiLevelType w:val="hybridMultilevel"/>
    <w:tmpl w:val="98C8D062"/>
    <w:lvl w:ilvl="0" w:tplc="FFFFFFF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4D4D6D"/>
    <w:multiLevelType w:val="multilevel"/>
    <w:tmpl w:val="16AC27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106"/>
        </w:tabs>
        <w:ind w:left="1106"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start w:val="1"/>
      <w:numFmt w:val="bullet"/>
      <w:lvlText w:val="o"/>
      <w:lvlJc w:val="left"/>
      <w:pPr>
        <w:tabs>
          <w:tab w:val="num" w:pos="3354"/>
        </w:tabs>
        <w:ind w:left="3354" w:hanging="360"/>
      </w:pPr>
      <w:rPr>
        <w:rFonts w:ascii="Courier New" w:hAnsi="Courier New" w:cs="Courier New" w:hint="default"/>
      </w:rPr>
    </w:lvl>
    <w:lvl w:ilvl="5" w:tplc="04090005">
      <w:start w:val="1"/>
      <w:numFmt w:val="bullet"/>
      <w:lvlText w:val=""/>
      <w:lvlJc w:val="left"/>
      <w:pPr>
        <w:tabs>
          <w:tab w:val="num" w:pos="4074"/>
        </w:tabs>
        <w:ind w:left="4074" w:hanging="360"/>
      </w:pPr>
      <w:rPr>
        <w:rFonts w:ascii="Wingdings" w:hAnsi="Wingdings" w:hint="default"/>
      </w:rPr>
    </w:lvl>
    <w:lvl w:ilvl="6" w:tplc="04090001">
      <w:start w:val="1"/>
      <w:numFmt w:val="bullet"/>
      <w:lvlText w:val=""/>
      <w:lvlJc w:val="left"/>
      <w:pPr>
        <w:tabs>
          <w:tab w:val="num" w:pos="4794"/>
        </w:tabs>
        <w:ind w:left="4794" w:hanging="360"/>
      </w:pPr>
      <w:rPr>
        <w:rFonts w:ascii="Symbol" w:hAnsi="Symbol" w:hint="default"/>
      </w:rPr>
    </w:lvl>
    <w:lvl w:ilvl="7" w:tplc="04090003">
      <w:start w:val="1"/>
      <w:numFmt w:val="bullet"/>
      <w:lvlText w:val="o"/>
      <w:lvlJc w:val="left"/>
      <w:pPr>
        <w:tabs>
          <w:tab w:val="num" w:pos="5514"/>
        </w:tabs>
        <w:ind w:left="5514" w:hanging="360"/>
      </w:pPr>
      <w:rPr>
        <w:rFonts w:ascii="Courier New" w:hAnsi="Courier New" w:cs="Courier New" w:hint="default"/>
      </w:rPr>
    </w:lvl>
    <w:lvl w:ilvl="8" w:tplc="04090005">
      <w:start w:val="1"/>
      <w:numFmt w:val="bullet"/>
      <w:lvlText w:val=""/>
      <w:lvlJc w:val="left"/>
      <w:pPr>
        <w:tabs>
          <w:tab w:val="num" w:pos="6234"/>
        </w:tabs>
        <w:ind w:left="6234"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7"/>
  </w:num>
  <w:num w:numId="5" w16cid:durableId="630793192">
    <w:abstractNumId w:val="5"/>
  </w:num>
  <w:num w:numId="6" w16cid:durableId="1154301696">
    <w:abstractNumId w:val="10"/>
  </w:num>
  <w:num w:numId="7" w16cid:durableId="1489399165">
    <w:abstractNumId w:val="11"/>
  </w:num>
  <w:num w:numId="8" w16cid:durableId="68041887">
    <w:abstractNumId w:val="13"/>
  </w:num>
  <w:num w:numId="9" w16cid:durableId="2052685577">
    <w:abstractNumId w:val="14"/>
  </w:num>
  <w:num w:numId="10" w16cid:durableId="1273706882">
    <w:abstractNumId w:val="2"/>
  </w:num>
  <w:num w:numId="11" w16cid:durableId="20911507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128012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6607501">
    <w:abstractNumId w:val="3"/>
  </w:num>
  <w:num w:numId="14" w16cid:durableId="1963266654">
    <w:abstractNumId w:val="4"/>
  </w:num>
  <w:num w:numId="15" w16cid:durableId="2140486841">
    <w:abstractNumId w:val="6"/>
  </w:num>
  <w:num w:numId="16" w16cid:durableId="1373652968">
    <w:abstractNumId w:val="9"/>
  </w:num>
  <w:num w:numId="17" w16cid:durableId="948584223">
    <w:abstractNumId w:val="12"/>
  </w:num>
  <w:num w:numId="18" w16cid:durableId="1943951316">
    <w:abstractNumId w:val="14"/>
  </w:num>
  <w:num w:numId="19" w16cid:durableId="18390383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5579"/>
    <w:rsid w:val="00016557"/>
    <w:rsid w:val="000211F1"/>
    <w:rsid w:val="00021F0D"/>
    <w:rsid w:val="00023C40"/>
    <w:rsid w:val="00023DB0"/>
    <w:rsid w:val="000315CB"/>
    <w:rsid w:val="0003280C"/>
    <w:rsid w:val="00033397"/>
    <w:rsid w:val="00034A47"/>
    <w:rsid w:val="0003691C"/>
    <w:rsid w:val="00040095"/>
    <w:rsid w:val="0004132D"/>
    <w:rsid w:val="000455FD"/>
    <w:rsid w:val="00047C1D"/>
    <w:rsid w:val="00050A8F"/>
    <w:rsid w:val="00054E59"/>
    <w:rsid w:val="00056276"/>
    <w:rsid w:val="00057B2E"/>
    <w:rsid w:val="000603F9"/>
    <w:rsid w:val="000606FC"/>
    <w:rsid w:val="000613F7"/>
    <w:rsid w:val="00064891"/>
    <w:rsid w:val="00065268"/>
    <w:rsid w:val="00066BFE"/>
    <w:rsid w:val="00073C9C"/>
    <w:rsid w:val="00075437"/>
    <w:rsid w:val="00076412"/>
    <w:rsid w:val="00080157"/>
    <w:rsid w:val="00080512"/>
    <w:rsid w:val="000872BA"/>
    <w:rsid w:val="000879E5"/>
    <w:rsid w:val="00090468"/>
    <w:rsid w:val="000927DA"/>
    <w:rsid w:val="0009436E"/>
    <w:rsid w:val="00094568"/>
    <w:rsid w:val="000A290B"/>
    <w:rsid w:val="000A5CE5"/>
    <w:rsid w:val="000A7501"/>
    <w:rsid w:val="000B0D05"/>
    <w:rsid w:val="000B5F7F"/>
    <w:rsid w:val="000B7BCF"/>
    <w:rsid w:val="000C01A4"/>
    <w:rsid w:val="000C0873"/>
    <w:rsid w:val="000C522B"/>
    <w:rsid w:val="000D58AB"/>
    <w:rsid w:val="000E16DF"/>
    <w:rsid w:val="000E3B59"/>
    <w:rsid w:val="000E609A"/>
    <w:rsid w:val="000F128D"/>
    <w:rsid w:val="000F5F64"/>
    <w:rsid w:val="001006AB"/>
    <w:rsid w:val="00107123"/>
    <w:rsid w:val="00112F1A"/>
    <w:rsid w:val="00112F27"/>
    <w:rsid w:val="00120765"/>
    <w:rsid w:val="001244DD"/>
    <w:rsid w:val="00127768"/>
    <w:rsid w:val="00131904"/>
    <w:rsid w:val="00134B88"/>
    <w:rsid w:val="00136553"/>
    <w:rsid w:val="00136D9D"/>
    <w:rsid w:val="00136E63"/>
    <w:rsid w:val="001427E8"/>
    <w:rsid w:val="00145075"/>
    <w:rsid w:val="00146960"/>
    <w:rsid w:val="0015313A"/>
    <w:rsid w:val="001532EC"/>
    <w:rsid w:val="00153995"/>
    <w:rsid w:val="00153F4A"/>
    <w:rsid w:val="00155AE6"/>
    <w:rsid w:val="001646C7"/>
    <w:rsid w:val="00165F32"/>
    <w:rsid w:val="0017261C"/>
    <w:rsid w:val="001741A0"/>
    <w:rsid w:val="00175AA8"/>
    <w:rsid w:val="00175FA0"/>
    <w:rsid w:val="00184F1D"/>
    <w:rsid w:val="00191B8C"/>
    <w:rsid w:val="00194CD0"/>
    <w:rsid w:val="00194D7F"/>
    <w:rsid w:val="00195924"/>
    <w:rsid w:val="00197ECE"/>
    <w:rsid w:val="001A4032"/>
    <w:rsid w:val="001A4B1A"/>
    <w:rsid w:val="001B3504"/>
    <w:rsid w:val="001B49C9"/>
    <w:rsid w:val="001B5418"/>
    <w:rsid w:val="001B6BDC"/>
    <w:rsid w:val="001C23F4"/>
    <w:rsid w:val="001C4F79"/>
    <w:rsid w:val="001C6D6D"/>
    <w:rsid w:val="001E68CA"/>
    <w:rsid w:val="001F168B"/>
    <w:rsid w:val="001F2DBD"/>
    <w:rsid w:val="001F710D"/>
    <w:rsid w:val="001F7831"/>
    <w:rsid w:val="00200C8D"/>
    <w:rsid w:val="00204045"/>
    <w:rsid w:val="002070E7"/>
    <w:rsid w:val="0020712B"/>
    <w:rsid w:val="00207899"/>
    <w:rsid w:val="0021283A"/>
    <w:rsid w:val="002159F5"/>
    <w:rsid w:val="00216EDC"/>
    <w:rsid w:val="002203A3"/>
    <w:rsid w:val="00225758"/>
    <w:rsid w:val="0022606D"/>
    <w:rsid w:val="00231728"/>
    <w:rsid w:val="00243920"/>
    <w:rsid w:val="00244A05"/>
    <w:rsid w:val="00250404"/>
    <w:rsid w:val="00251187"/>
    <w:rsid w:val="0025147E"/>
    <w:rsid w:val="00256B74"/>
    <w:rsid w:val="002610D8"/>
    <w:rsid w:val="00261E5D"/>
    <w:rsid w:val="00261E5F"/>
    <w:rsid w:val="002621CC"/>
    <w:rsid w:val="00264CF0"/>
    <w:rsid w:val="00265BB8"/>
    <w:rsid w:val="002743B9"/>
    <w:rsid w:val="002747EC"/>
    <w:rsid w:val="00276942"/>
    <w:rsid w:val="00276C54"/>
    <w:rsid w:val="002855BF"/>
    <w:rsid w:val="002866A1"/>
    <w:rsid w:val="0029149E"/>
    <w:rsid w:val="002922EC"/>
    <w:rsid w:val="002972D5"/>
    <w:rsid w:val="002A347C"/>
    <w:rsid w:val="002A5A11"/>
    <w:rsid w:val="002B2988"/>
    <w:rsid w:val="002C564A"/>
    <w:rsid w:val="002C6FCE"/>
    <w:rsid w:val="002D05FC"/>
    <w:rsid w:val="002D5C53"/>
    <w:rsid w:val="002E0B26"/>
    <w:rsid w:val="002E230D"/>
    <w:rsid w:val="002E39A3"/>
    <w:rsid w:val="002F07DC"/>
    <w:rsid w:val="002F0D22"/>
    <w:rsid w:val="002F7F54"/>
    <w:rsid w:val="003040CB"/>
    <w:rsid w:val="0030438B"/>
    <w:rsid w:val="00311B17"/>
    <w:rsid w:val="00316B1B"/>
    <w:rsid w:val="003172DC"/>
    <w:rsid w:val="00324A15"/>
    <w:rsid w:val="00325AE3"/>
    <w:rsid w:val="00325E76"/>
    <w:rsid w:val="00326069"/>
    <w:rsid w:val="00326EFD"/>
    <w:rsid w:val="00342C00"/>
    <w:rsid w:val="003441F9"/>
    <w:rsid w:val="00347961"/>
    <w:rsid w:val="00350552"/>
    <w:rsid w:val="0035462D"/>
    <w:rsid w:val="00354F10"/>
    <w:rsid w:val="00357778"/>
    <w:rsid w:val="0036219A"/>
    <w:rsid w:val="0036459E"/>
    <w:rsid w:val="00364B41"/>
    <w:rsid w:val="00365041"/>
    <w:rsid w:val="003655D5"/>
    <w:rsid w:val="0037239C"/>
    <w:rsid w:val="00373C18"/>
    <w:rsid w:val="003821C2"/>
    <w:rsid w:val="00383096"/>
    <w:rsid w:val="00387A36"/>
    <w:rsid w:val="00387F23"/>
    <w:rsid w:val="00390392"/>
    <w:rsid w:val="0039346C"/>
    <w:rsid w:val="0039474A"/>
    <w:rsid w:val="0039540E"/>
    <w:rsid w:val="003A1F36"/>
    <w:rsid w:val="003A41EF"/>
    <w:rsid w:val="003A50A3"/>
    <w:rsid w:val="003B40AD"/>
    <w:rsid w:val="003B5658"/>
    <w:rsid w:val="003B5FBA"/>
    <w:rsid w:val="003C29B9"/>
    <w:rsid w:val="003C4E37"/>
    <w:rsid w:val="003D0FD0"/>
    <w:rsid w:val="003D4B28"/>
    <w:rsid w:val="003D5350"/>
    <w:rsid w:val="003E16BE"/>
    <w:rsid w:val="003E2D38"/>
    <w:rsid w:val="003F001A"/>
    <w:rsid w:val="003F1FD1"/>
    <w:rsid w:val="003F43E2"/>
    <w:rsid w:val="003F4E28"/>
    <w:rsid w:val="004006E8"/>
    <w:rsid w:val="00401855"/>
    <w:rsid w:val="00402142"/>
    <w:rsid w:val="00404A17"/>
    <w:rsid w:val="0041376E"/>
    <w:rsid w:val="00413B01"/>
    <w:rsid w:val="00414654"/>
    <w:rsid w:val="004232E2"/>
    <w:rsid w:val="004233A3"/>
    <w:rsid w:val="0043341E"/>
    <w:rsid w:val="004423A6"/>
    <w:rsid w:val="00444AE2"/>
    <w:rsid w:val="00446C3A"/>
    <w:rsid w:val="004475E2"/>
    <w:rsid w:val="00452171"/>
    <w:rsid w:val="00452C4D"/>
    <w:rsid w:val="00457B1D"/>
    <w:rsid w:val="00460D33"/>
    <w:rsid w:val="00465587"/>
    <w:rsid w:val="00466012"/>
    <w:rsid w:val="00476020"/>
    <w:rsid w:val="00477455"/>
    <w:rsid w:val="00477F2A"/>
    <w:rsid w:val="00493B04"/>
    <w:rsid w:val="00497623"/>
    <w:rsid w:val="00497C8E"/>
    <w:rsid w:val="004A1F7B"/>
    <w:rsid w:val="004A21BF"/>
    <w:rsid w:val="004A4631"/>
    <w:rsid w:val="004A5E17"/>
    <w:rsid w:val="004A63EA"/>
    <w:rsid w:val="004B2596"/>
    <w:rsid w:val="004B5FE4"/>
    <w:rsid w:val="004B6E7F"/>
    <w:rsid w:val="004B7943"/>
    <w:rsid w:val="004C0BD9"/>
    <w:rsid w:val="004C44D2"/>
    <w:rsid w:val="004D3578"/>
    <w:rsid w:val="004D380D"/>
    <w:rsid w:val="004D436A"/>
    <w:rsid w:val="004E213A"/>
    <w:rsid w:val="004E33DD"/>
    <w:rsid w:val="004E377D"/>
    <w:rsid w:val="004E4B40"/>
    <w:rsid w:val="004F42FE"/>
    <w:rsid w:val="004F4540"/>
    <w:rsid w:val="004F54BE"/>
    <w:rsid w:val="004F73A7"/>
    <w:rsid w:val="00503171"/>
    <w:rsid w:val="00506C28"/>
    <w:rsid w:val="0051293A"/>
    <w:rsid w:val="00515D05"/>
    <w:rsid w:val="00525171"/>
    <w:rsid w:val="00527C61"/>
    <w:rsid w:val="00534DA0"/>
    <w:rsid w:val="00536C9E"/>
    <w:rsid w:val="00543E6C"/>
    <w:rsid w:val="005579BD"/>
    <w:rsid w:val="005614A0"/>
    <w:rsid w:val="005620E9"/>
    <w:rsid w:val="00564F65"/>
    <w:rsid w:val="00565087"/>
    <w:rsid w:val="0056573F"/>
    <w:rsid w:val="00567E4D"/>
    <w:rsid w:val="00571279"/>
    <w:rsid w:val="005723E1"/>
    <w:rsid w:val="00572897"/>
    <w:rsid w:val="0057303F"/>
    <w:rsid w:val="005819A8"/>
    <w:rsid w:val="00582880"/>
    <w:rsid w:val="00585B53"/>
    <w:rsid w:val="00590713"/>
    <w:rsid w:val="0059375C"/>
    <w:rsid w:val="0059599E"/>
    <w:rsid w:val="0059620B"/>
    <w:rsid w:val="005A13AB"/>
    <w:rsid w:val="005A49C6"/>
    <w:rsid w:val="005A599E"/>
    <w:rsid w:val="005B3051"/>
    <w:rsid w:val="005B32BB"/>
    <w:rsid w:val="005B6F5E"/>
    <w:rsid w:val="005B7D70"/>
    <w:rsid w:val="005C5964"/>
    <w:rsid w:val="005C766E"/>
    <w:rsid w:val="005C7CD5"/>
    <w:rsid w:val="005D1295"/>
    <w:rsid w:val="005D1836"/>
    <w:rsid w:val="005D6847"/>
    <w:rsid w:val="005D785C"/>
    <w:rsid w:val="005E3737"/>
    <w:rsid w:val="005F0B0C"/>
    <w:rsid w:val="005F11D0"/>
    <w:rsid w:val="005F2427"/>
    <w:rsid w:val="005F485C"/>
    <w:rsid w:val="005F4A37"/>
    <w:rsid w:val="005F5338"/>
    <w:rsid w:val="006021C4"/>
    <w:rsid w:val="00602E0B"/>
    <w:rsid w:val="00611566"/>
    <w:rsid w:val="00615097"/>
    <w:rsid w:val="00615918"/>
    <w:rsid w:val="00616DF7"/>
    <w:rsid w:val="00617A24"/>
    <w:rsid w:val="006207BF"/>
    <w:rsid w:val="006219C4"/>
    <w:rsid w:val="0062444B"/>
    <w:rsid w:val="00630A39"/>
    <w:rsid w:val="006316A3"/>
    <w:rsid w:val="006350C7"/>
    <w:rsid w:val="00635D94"/>
    <w:rsid w:val="00640EF0"/>
    <w:rsid w:val="00646D99"/>
    <w:rsid w:val="00656910"/>
    <w:rsid w:val="006574C0"/>
    <w:rsid w:val="00662AA9"/>
    <w:rsid w:val="00662AE3"/>
    <w:rsid w:val="00670015"/>
    <w:rsid w:val="00672C96"/>
    <w:rsid w:val="0067382D"/>
    <w:rsid w:val="00675759"/>
    <w:rsid w:val="006861BE"/>
    <w:rsid w:val="00690769"/>
    <w:rsid w:val="00694F07"/>
    <w:rsid w:val="00696821"/>
    <w:rsid w:val="006A05C5"/>
    <w:rsid w:val="006A193B"/>
    <w:rsid w:val="006A21AA"/>
    <w:rsid w:val="006A6DEA"/>
    <w:rsid w:val="006B136F"/>
    <w:rsid w:val="006B3825"/>
    <w:rsid w:val="006B79AB"/>
    <w:rsid w:val="006C25E4"/>
    <w:rsid w:val="006C66D8"/>
    <w:rsid w:val="006C7725"/>
    <w:rsid w:val="006D1E24"/>
    <w:rsid w:val="006D2160"/>
    <w:rsid w:val="006D35DE"/>
    <w:rsid w:val="006D3708"/>
    <w:rsid w:val="006D483F"/>
    <w:rsid w:val="006D6FB7"/>
    <w:rsid w:val="006E1057"/>
    <w:rsid w:val="006E1417"/>
    <w:rsid w:val="006E2099"/>
    <w:rsid w:val="006F08A2"/>
    <w:rsid w:val="006F58B4"/>
    <w:rsid w:val="006F5CDD"/>
    <w:rsid w:val="006F6A2C"/>
    <w:rsid w:val="006F6B9A"/>
    <w:rsid w:val="0070075F"/>
    <w:rsid w:val="00701601"/>
    <w:rsid w:val="00701E86"/>
    <w:rsid w:val="007038C4"/>
    <w:rsid w:val="00704180"/>
    <w:rsid w:val="00705C3A"/>
    <w:rsid w:val="007069DC"/>
    <w:rsid w:val="00710201"/>
    <w:rsid w:val="007120E3"/>
    <w:rsid w:val="0071270D"/>
    <w:rsid w:val="00712F55"/>
    <w:rsid w:val="00715F7F"/>
    <w:rsid w:val="0072073A"/>
    <w:rsid w:val="00722469"/>
    <w:rsid w:val="00724198"/>
    <w:rsid w:val="00724D50"/>
    <w:rsid w:val="00725461"/>
    <w:rsid w:val="00726CEA"/>
    <w:rsid w:val="007314F8"/>
    <w:rsid w:val="007342B5"/>
    <w:rsid w:val="00734A5B"/>
    <w:rsid w:val="00735283"/>
    <w:rsid w:val="007364EB"/>
    <w:rsid w:val="007422F7"/>
    <w:rsid w:val="0074445D"/>
    <w:rsid w:val="00744E76"/>
    <w:rsid w:val="00746ECF"/>
    <w:rsid w:val="007516E0"/>
    <w:rsid w:val="00752441"/>
    <w:rsid w:val="0075343C"/>
    <w:rsid w:val="00757D40"/>
    <w:rsid w:val="007617BA"/>
    <w:rsid w:val="007662B5"/>
    <w:rsid w:val="00767BAF"/>
    <w:rsid w:val="00775A0D"/>
    <w:rsid w:val="0078001E"/>
    <w:rsid w:val="00781C7F"/>
    <w:rsid w:val="00781F0F"/>
    <w:rsid w:val="0078727C"/>
    <w:rsid w:val="00787595"/>
    <w:rsid w:val="00787664"/>
    <w:rsid w:val="00787A02"/>
    <w:rsid w:val="0079049D"/>
    <w:rsid w:val="007907E7"/>
    <w:rsid w:val="00793017"/>
    <w:rsid w:val="00793DC5"/>
    <w:rsid w:val="0079553A"/>
    <w:rsid w:val="0079615A"/>
    <w:rsid w:val="00796823"/>
    <w:rsid w:val="007A01A0"/>
    <w:rsid w:val="007A27B0"/>
    <w:rsid w:val="007A2E55"/>
    <w:rsid w:val="007B18D8"/>
    <w:rsid w:val="007B2FAF"/>
    <w:rsid w:val="007B639C"/>
    <w:rsid w:val="007B7B05"/>
    <w:rsid w:val="007C095F"/>
    <w:rsid w:val="007C2DD0"/>
    <w:rsid w:val="007C51F6"/>
    <w:rsid w:val="007C5F07"/>
    <w:rsid w:val="007D2A5A"/>
    <w:rsid w:val="007E4393"/>
    <w:rsid w:val="007F06A1"/>
    <w:rsid w:val="007F1A66"/>
    <w:rsid w:val="007F2E08"/>
    <w:rsid w:val="007F41A6"/>
    <w:rsid w:val="007F60D8"/>
    <w:rsid w:val="007F650A"/>
    <w:rsid w:val="008024FA"/>
    <w:rsid w:val="008028A4"/>
    <w:rsid w:val="00803395"/>
    <w:rsid w:val="00811098"/>
    <w:rsid w:val="00813245"/>
    <w:rsid w:val="00814330"/>
    <w:rsid w:val="00822D4D"/>
    <w:rsid w:val="00823E2E"/>
    <w:rsid w:val="0082431F"/>
    <w:rsid w:val="008256D2"/>
    <w:rsid w:val="00837744"/>
    <w:rsid w:val="00840DE0"/>
    <w:rsid w:val="00842382"/>
    <w:rsid w:val="0084244E"/>
    <w:rsid w:val="00847CD0"/>
    <w:rsid w:val="008525F1"/>
    <w:rsid w:val="008607A8"/>
    <w:rsid w:val="008623C2"/>
    <w:rsid w:val="0086354A"/>
    <w:rsid w:val="00863E64"/>
    <w:rsid w:val="008710E0"/>
    <w:rsid w:val="00872B92"/>
    <w:rsid w:val="008735BB"/>
    <w:rsid w:val="0087404D"/>
    <w:rsid w:val="008768CA"/>
    <w:rsid w:val="00877EF9"/>
    <w:rsid w:val="00880559"/>
    <w:rsid w:val="008823C3"/>
    <w:rsid w:val="0088586C"/>
    <w:rsid w:val="00890505"/>
    <w:rsid w:val="00890745"/>
    <w:rsid w:val="008A0026"/>
    <w:rsid w:val="008A3318"/>
    <w:rsid w:val="008B4699"/>
    <w:rsid w:val="008B5306"/>
    <w:rsid w:val="008B54E8"/>
    <w:rsid w:val="008C2E2A"/>
    <w:rsid w:val="008C3057"/>
    <w:rsid w:val="008C38CB"/>
    <w:rsid w:val="008C3F8C"/>
    <w:rsid w:val="008C4A05"/>
    <w:rsid w:val="008C6CC6"/>
    <w:rsid w:val="008D12AC"/>
    <w:rsid w:val="008D2381"/>
    <w:rsid w:val="008D2E4D"/>
    <w:rsid w:val="008E1118"/>
    <w:rsid w:val="008E5447"/>
    <w:rsid w:val="008E6A3A"/>
    <w:rsid w:val="008E7852"/>
    <w:rsid w:val="008F17E8"/>
    <w:rsid w:val="008F35A5"/>
    <w:rsid w:val="008F396F"/>
    <w:rsid w:val="008F3DCD"/>
    <w:rsid w:val="0090271F"/>
    <w:rsid w:val="00902DB9"/>
    <w:rsid w:val="0090466A"/>
    <w:rsid w:val="00905E5A"/>
    <w:rsid w:val="00913CC3"/>
    <w:rsid w:val="0091552E"/>
    <w:rsid w:val="00923655"/>
    <w:rsid w:val="00923E8C"/>
    <w:rsid w:val="00925618"/>
    <w:rsid w:val="00931B54"/>
    <w:rsid w:val="009339CB"/>
    <w:rsid w:val="00933C29"/>
    <w:rsid w:val="00936071"/>
    <w:rsid w:val="009376CD"/>
    <w:rsid w:val="00940212"/>
    <w:rsid w:val="00942EC2"/>
    <w:rsid w:val="00944988"/>
    <w:rsid w:val="009457BF"/>
    <w:rsid w:val="00946C33"/>
    <w:rsid w:val="009560B3"/>
    <w:rsid w:val="00961B32"/>
    <w:rsid w:val="00962509"/>
    <w:rsid w:val="00964147"/>
    <w:rsid w:val="00970B25"/>
    <w:rsid w:val="00970DB3"/>
    <w:rsid w:val="0097116E"/>
    <w:rsid w:val="00974BB0"/>
    <w:rsid w:val="00975BCD"/>
    <w:rsid w:val="009818A2"/>
    <w:rsid w:val="009852BF"/>
    <w:rsid w:val="00992597"/>
    <w:rsid w:val="009928A9"/>
    <w:rsid w:val="00995348"/>
    <w:rsid w:val="00997B0C"/>
    <w:rsid w:val="00997D4D"/>
    <w:rsid w:val="009A0AF3"/>
    <w:rsid w:val="009A1FA1"/>
    <w:rsid w:val="009A6FBD"/>
    <w:rsid w:val="009B07CD"/>
    <w:rsid w:val="009B4B92"/>
    <w:rsid w:val="009B7B2A"/>
    <w:rsid w:val="009C19E9"/>
    <w:rsid w:val="009C6AAE"/>
    <w:rsid w:val="009D74A6"/>
    <w:rsid w:val="009E0E87"/>
    <w:rsid w:val="009E462B"/>
    <w:rsid w:val="009F0190"/>
    <w:rsid w:val="009F0766"/>
    <w:rsid w:val="009F655C"/>
    <w:rsid w:val="00A01E3E"/>
    <w:rsid w:val="00A053A8"/>
    <w:rsid w:val="00A10F02"/>
    <w:rsid w:val="00A12D3C"/>
    <w:rsid w:val="00A15F6F"/>
    <w:rsid w:val="00A16E7D"/>
    <w:rsid w:val="00A17176"/>
    <w:rsid w:val="00A204CA"/>
    <w:rsid w:val="00A209D6"/>
    <w:rsid w:val="00A22738"/>
    <w:rsid w:val="00A228D4"/>
    <w:rsid w:val="00A25BF3"/>
    <w:rsid w:val="00A25CBC"/>
    <w:rsid w:val="00A360ED"/>
    <w:rsid w:val="00A36F5F"/>
    <w:rsid w:val="00A42BD4"/>
    <w:rsid w:val="00A430EC"/>
    <w:rsid w:val="00A43F5A"/>
    <w:rsid w:val="00A440AE"/>
    <w:rsid w:val="00A51DDD"/>
    <w:rsid w:val="00A53724"/>
    <w:rsid w:val="00A54B2B"/>
    <w:rsid w:val="00A57AE8"/>
    <w:rsid w:val="00A60171"/>
    <w:rsid w:val="00A641B2"/>
    <w:rsid w:val="00A64ADA"/>
    <w:rsid w:val="00A703B6"/>
    <w:rsid w:val="00A73938"/>
    <w:rsid w:val="00A74BAC"/>
    <w:rsid w:val="00A76281"/>
    <w:rsid w:val="00A77DD4"/>
    <w:rsid w:val="00A82346"/>
    <w:rsid w:val="00A82FBC"/>
    <w:rsid w:val="00A91AF0"/>
    <w:rsid w:val="00A9254C"/>
    <w:rsid w:val="00A935F2"/>
    <w:rsid w:val="00A95FB9"/>
    <w:rsid w:val="00A964B2"/>
    <w:rsid w:val="00A9671C"/>
    <w:rsid w:val="00A976CC"/>
    <w:rsid w:val="00AA1553"/>
    <w:rsid w:val="00AA2D0F"/>
    <w:rsid w:val="00AA5FA4"/>
    <w:rsid w:val="00AA61FC"/>
    <w:rsid w:val="00AA668D"/>
    <w:rsid w:val="00AA6780"/>
    <w:rsid w:val="00AB213E"/>
    <w:rsid w:val="00AB2733"/>
    <w:rsid w:val="00AB316D"/>
    <w:rsid w:val="00AB3BF2"/>
    <w:rsid w:val="00AC6945"/>
    <w:rsid w:val="00AD5ABF"/>
    <w:rsid w:val="00AD6DAC"/>
    <w:rsid w:val="00AE31B3"/>
    <w:rsid w:val="00AE583E"/>
    <w:rsid w:val="00AF05E0"/>
    <w:rsid w:val="00AF4DF1"/>
    <w:rsid w:val="00B0136D"/>
    <w:rsid w:val="00B05380"/>
    <w:rsid w:val="00B05962"/>
    <w:rsid w:val="00B1198E"/>
    <w:rsid w:val="00B14279"/>
    <w:rsid w:val="00B15449"/>
    <w:rsid w:val="00B16C2F"/>
    <w:rsid w:val="00B27303"/>
    <w:rsid w:val="00B321DC"/>
    <w:rsid w:val="00B3727D"/>
    <w:rsid w:val="00B47FD1"/>
    <w:rsid w:val="00B516BB"/>
    <w:rsid w:val="00B5193E"/>
    <w:rsid w:val="00B626DE"/>
    <w:rsid w:val="00B67F1B"/>
    <w:rsid w:val="00B70208"/>
    <w:rsid w:val="00B7538C"/>
    <w:rsid w:val="00B84DB2"/>
    <w:rsid w:val="00B85325"/>
    <w:rsid w:val="00B92BF5"/>
    <w:rsid w:val="00B93A08"/>
    <w:rsid w:val="00B94528"/>
    <w:rsid w:val="00B9479F"/>
    <w:rsid w:val="00BA2AD5"/>
    <w:rsid w:val="00BB0BD3"/>
    <w:rsid w:val="00BB376A"/>
    <w:rsid w:val="00BC3555"/>
    <w:rsid w:val="00BC519B"/>
    <w:rsid w:val="00BC5D01"/>
    <w:rsid w:val="00BC690A"/>
    <w:rsid w:val="00BD5060"/>
    <w:rsid w:val="00BD54C5"/>
    <w:rsid w:val="00BD586E"/>
    <w:rsid w:val="00BD7CB4"/>
    <w:rsid w:val="00BE30C1"/>
    <w:rsid w:val="00BE33AE"/>
    <w:rsid w:val="00BE5A67"/>
    <w:rsid w:val="00BE75A9"/>
    <w:rsid w:val="00C03D99"/>
    <w:rsid w:val="00C05B78"/>
    <w:rsid w:val="00C05C82"/>
    <w:rsid w:val="00C07FEE"/>
    <w:rsid w:val="00C10DF8"/>
    <w:rsid w:val="00C12B51"/>
    <w:rsid w:val="00C15FC9"/>
    <w:rsid w:val="00C22E1A"/>
    <w:rsid w:val="00C24650"/>
    <w:rsid w:val="00C25465"/>
    <w:rsid w:val="00C2702B"/>
    <w:rsid w:val="00C27DD0"/>
    <w:rsid w:val="00C30373"/>
    <w:rsid w:val="00C306E5"/>
    <w:rsid w:val="00C31023"/>
    <w:rsid w:val="00C31914"/>
    <w:rsid w:val="00C33079"/>
    <w:rsid w:val="00C34E45"/>
    <w:rsid w:val="00C408D8"/>
    <w:rsid w:val="00C4173D"/>
    <w:rsid w:val="00C45C0C"/>
    <w:rsid w:val="00C461DF"/>
    <w:rsid w:val="00C46C56"/>
    <w:rsid w:val="00C5188F"/>
    <w:rsid w:val="00C5284C"/>
    <w:rsid w:val="00C55A12"/>
    <w:rsid w:val="00C56422"/>
    <w:rsid w:val="00C65167"/>
    <w:rsid w:val="00C6553E"/>
    <w:rsid w:val="00C67309"/>
    <w:rsid w:val="00C70C4F"/>
    <w:rsid w:val="00C82371"/>
    <w:rsid w:val="00C83A13"/>
    <w:rsid w:val="00C84134"/>
    <w:rsid w:val="00C86F10"/>
    <w:rsid w:val="00C87A1B"/>
    <w:rsid w:val="00C903C1"/>
    <w:rsid w:val="00C9068C"/>
    <w:rsid w:val="00C92967"/>
    <w:rsid w:val="00C9442F"/>
    <w:rsid w:val="00C949D8"/>
    <w:rsid w:val="00CA3D0C"/>
    <w:rsid w:val="00CA5489"/>
    <w:rsid w:val="00CA654B"/>
    <w:rsid w:val="00CB2675"/>
    <w:rsid w:val="00CB31EC"/>
    <w:rsid w:val="00CB72B8"/>
    <w:rsid w:val="00CB7779"/>
    <w:rsid w:val="00CC2188"/>
    <w:rsid w:val="00CC545E"/>
    <w:rsid w:val="00CC65D1"/>
    <w:rsid w:val="00CC7F95"/>
    <w:rsid w:val="00CD0BA8"/>
    <w:rsid w:val="00CD3FEB"/>
    <w:rsid w:val="00CD479E"/>
    <w:rsid w:val="00CD4C7B"/>
    <w:rsid w:val="00CD58FE"/>
    <w:rsid w:val="00CE54EC"/>
    <w:rsid w:val="00CE57C5"/>
    <w:rsid w:val="00CF6FDD"/>
    <w:rsid w:val="00D035FD"/>
    <w:rsid w:val="00D04C28"/>
    <w:rsid w:val="00D15895"/>
    <w:rsid w:val="00D17F78"/>
    <w:rsid w:val="00D33BE3"/>
    <w:rsid w:val="00D35386"/>
    <w:rsid w:val="00D35606"/>
    <w:rsid w:val="00D364CD"/>
    <w:rsid w:val="00D36F8C"/>
    <w:rsid w:val="00D3792D"/>
    <w:rsid w:val="00D5269C"/>
    <w:rsid w:val="00D52889"/>
    <w:rsid w:val="00D54820"/>
    <w:rsid w:val="00D55E47"/>
    <w:rsid w:val="00D5766D"/>
    <w:rsid w:val="00D600CF"/>
    <w:rsid w:val="00D62313"/>
    <w:rsid w:val="00D62E19"/>
    <w:rsid w:val="00D6300C"/>
    <w:rsid w:val="00D63409"/>
    <w:rsid w:val="00D67CD1"/>
    <w:rsid w:val="00D67DF3"/>
    <w:rsid w:val="00D700CD"/>
    <w:rsid w:val="00D70E37"/>
    <w:rsid w:val="00D71E88"/>
    <w:rsid w:val="00D738D6"/>
    <w:rsid w:val="00D76100"/>
    <w:rsid w:val="00D801C1"/>
    <w:rsid w:val="00D80795"/>
    <w:rsid w:val="00D854BE"/>
    <w:rsid w:val="00D87063"/>
    <w:rsid w:val="00D87E00"/>
    <w:rsid w:val="00D90762"/>
    <w:rsid w:val="00D9134D"/>
    <w:rsid w:val="00D91C17"/>
    <w:rsid w:val="00D95F6F"/>
    <w:rsid w:val="00D96D11"/>
    <w:rsid w:val="00D978C1"/>
    <w:rsid w:val="00D97EE3"/>
    <w:rsid w:val="00DA4DEB"/>
    <w:rsid w:val="00DA576A"/>
    <w:rsid w:val="00DA7317"/>
    <w:rsid w:val="00DA7A03"/>
    <w:rsid w:val="00DB0DB8"/>
    <w:rsid w:val="00DB1818"/>
    <w:rsid w:val="00DB2B79"/>
    <w:rsid w:val="00DC309B"/>
    <w:rsid w:val="00DC39CC"/>
    <w:rsid w:val="00DC4DA2"/>
    <w:rsid w:val="00DC5261"/>
    <w:rsid w:val="00DD3BAA"/>
    <w:rsid w:val="00DD3D84"/>
    <w:rsid w:val="00DE1E77"/>
    <w:rsid w:val="00DE25D2"/>
    <w:rsid w:val="00DE6488"/>
    <w:rsid w:val="00DE65A9"/>
    <w:rsid w:val="00DE679B"/>
    <w:rsid w:val="00DF298E"/>
    <w:rsid w:val="00DF7C20"/>
    <w:rsid w:val="00E038FB"/>
    <w:rsid w:val="00E1016E"/>
    <w:rsid w:val="00E14A63"/>
    <w:rsid w:val="00E20287"/>
    <w:rsid w:val="00E25446"/>
    <w:rsid w:val="00E334AB"/>
    <w:rsid w:val="00E34EEC"/>
    <w:rsid w:val="00E379C3"/>
    <w:rsid w:val="00E43B7A"/>
    <w:rsid w:val="00E43D8C"/>
    <w:rsid w:val="00E4583D"/>
    <w:rsid w:val="00E45C54"/>
    <w:rsid w:val="00E46C08"/>
    <w:rsid w:val="00E471CF"/>
    <w:rsid w:val="00E5353D"/>
    <w:rsid w:val="00E56CC2"/>
    <w:rsid w:val="00E573DF"/>
    <w:rsid w:val="00E57E0D"/>
    <w:rsid w:val="00E61779"/>
    <w:rsid w:val="00E62835"/>
    <w:rsid w:val="00E6480E"/>
    <w:rsid w:val="00E67D66"/>
    <w:rsid w:val="00E77645"/>
    <w:rsid w:val="00E83697"/>
    <w:rsid w:val="00E84680"/>
    <w:rsid w:val="00E859B6"/>
    <w:rsid w:val="00E90C57"/>
    <w:rsid w:val="00E91C60"/>
    <w:rsid w:val="00EA017A"/>
    <w:rsid w:val="00EA5A1C"/>
    <w:rsid w:val="00EA5A55"/>
    <w:rsid w:val="00EA66C9"/>
    <w:rsid w:val="00EB5D32"/>
    <w:rsid w:val="00EC2775"/>
    <w:rsid w:val="00EC2A71"/>
    <w:rsid w:val="00EC4A25"/>
    <w:rsid w:val="00EC76DA"/>
    <w:rsid w:val="00ED23FD"/>
    <w:rsid w:val="00ED282E"/>
    <w:rsid w:val="00ED32C1"/>
    <w:rsid w:val="00ED5027"/>
    <w:rsid w:val="00EE6FC3"/>
    <w:rsid w:val="00EE7D07"/>
    <w:rsid w:val="00EF16B1"/>
    <w:rsid w:val="00EF612C"/>
    <w:rsid w:val="00F0002F"/>
    <w:rsid w:val="00F019B0"/>
    <w:rsid w:val="00F025A2"/>
    <w:rsid w:val="00F02E96"/>
    <w:rsid w:val="00F036E9"/>
    <w:rsid w:val="00F07388"/>
    <w:rsid w:val="00F102B3"/>
    <w:rsid w:val="00F104EF"/>
    <w:rsid w:val="00F119AD"/>
    <w:rsid w:val="00F16F5C"/>
    <w:rsid w:val="00F2026E"/>
    <w:rsid w:val="00F21F0A"/>
    <w:rsid w:val="00F2210A"/>
    <w:rsid w:val="00F26181"/>
    <w:rsid w:val="00F26B52"/>
    <w:rsid w:val="00F31276"/>
    <w:rsid w:val="00F31372"/>
    <w:rsid w:val="00F331D7"/>
    <w:rsid w:val="00F37743"/>
    <w:rsid w:val="00F37D03"/>
    <w:rsid w:val="00F41D21"/>
    <w:rsid w:val="00F44B37"/>
    <w:rsid w:val="00F5488F"/>
    <w:rsid w:val="00F54A3D"/>
    <w:rsid w:val="00F54CB0"/>
    <w:rsid w:val="00F579CD"/>
    <w:rsid w:val="00F63635"/>
    <w:rsid w:val="00F64BC9"/>
    <w:rsid w:val="00F653B8"/>
    <w:rsid w:val="00F71B89"/>
    <w:rsid w:val="00F72C2D"/>
    <w:rsid w:val="00F7353C"/>
    <w:rsid w:val="00F76F8F"/>
    <w:rsid w:val="00F77B7D"/>
    <w:rsid w:val="00F8385C"/>
    <w:rsid w:val="00F83BE6"/>
    <w:rsid w:val="00F87257"/>
    <w:rsid w:val="00F9093A"/>
    <w:rsid w:val="00F91558"/>
    <w:rsid w:val="00F933E3"/>
    <w:rsid w:val="00F941DF"/>
    <w:rsid w:val="00F95727"/>
    <w:rsid w:val="00F96769"/>
    <w:rsid w:val="00FA1266"/>
    <w:rsid w:val="00FA576A"/>
    <w:rsid w:val="00FB36FA"/>
    <w:rsid w:val="00FC1192"/>
    <w:rsid w:val="00FD0D53"/>
    <w:rsid w:val="00FD1405"/>
    <w:rsid w:val="00FD3637"/>
    <w:rsid w:val="00FE106D"/>
    <w:rsid w:val="00FE251B"/>
    <w:rsid w:val="00FE6EBB"/>
    <w:rsid w:val="00FE79C9"/>
    <w:rsid w:val="00FF0720"/>
    <w:rsid w:val="00FF3640"/>
    <w:rsid w:val="00FF36AD"/>
    <w:rsid w:val="00FF536F"/>
    <w:rsid w:val="052207E3"/>
    <w:rsid w:val="06762F4A"/>
    <w:rsid w:val="0B49A06D"/>
    <w:rsid w:val="0F750422"/>
    <w:rsid w:val="1413BAE7"/>
    <w:rsid w:val="157692C2"/>
    <w:rsid w:val="1E862A22"/>
    <w:rsid w:val="1F68FEE6"/>
    <w:rsid w:val="23195FAD"/>
    <w:rsid w:val="28FBC3EF"/>
    <w:rsid w:val="2AF89021"/>
    <w:rsid w:val="2CF22AC5"/>
    <w:rsid w:val="2E8B531D"/>
    <w:rsid w:val="2EEC614B"/>
    <w:rsid w:val="312BE140"/>
    <w:rsid w:val="31945DCE"/>
    <w:rsid w:val="32C7B1A1"/>
    <w:rsid w:val="3707F966"/>
    <w:rsid w:val="3AD2C386"/>
    <w:rsid w:val="3C6E93E7"/>
    <w:rsid w:val="3D4A7FBC"/>
    <w:rsid w:val="3EAD75A1"/>
    <w:rsid w:val="47E8015B"/>
    <w:rsid w:val="4D39FAA9"/>
    <w:rsid w:val="5096F309"/>
    <w:rsid w:val="52199B0D"/>
    <w:rsid w:val="55F24BFC"/>
    <w:rsid w:val="5B57AE7A"/>
    <w:rsid w:val="5F0C5A06"/>
    <w:rsid w:val="5F3BAC77"/>
    <w:rsid w:val="60EFC3F5"/>
    <w:rsid w:val="615B4D3E"/>
    <w:rsid w:val="67F6F2ED"/>
    <w:rsid w:val="6E1D9FD3"/>
    <w:rsid w:val="757E9B16"/>
    <w:rsid w:val="7EBB71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Doc-text2Char">
    <w:name w:val="Doc-text2 Char"/>
    <w:link w:val="Doc-text2"/>
    <w:qFormat/>
    <w:locked/>
    <w:rsid w:val="003D4B28"/>
    <w:rPr>
      <w:rFonts w:ascii="Arial" w:eastAsia="MS Mincho" w:hAnsi="Arial" w:cs="Arial"/>
      <w:szCs w:val="24"/>
    </w:rPr>
  </w:style>
  <w:style w:type="paragraph" w:customStyle="1" w:styleId="Doc-text2">
    <w:name w:val="Doc-text2"/>
    <w:basedOn w:val="Normal"/>
    <w:link w:val="Doc-text2Char"/>
    <w:qFormat/>
    <w:rsid w:val="003D4B2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Normal"/>
    <w:uiPriority w:val="99"/>
    <w:qFormat/>
    <w:rsid w:val="003D4B28"/>
    <w:pPr>
      <w:numPr>
        <w:numId w:val="9"/>
      </w:numPr>
      <w:tabs>
        <w:tab w:val="num" w:pos="1619"/>
      </w:tabs>
      <w:spacing w:before="60" w:after="0"/>
    </w:pPr>
    <w:rPr>
      <w:rFonts w:ascii="Arial" w:eastAsia="MS Mincho" w:hAnsi="Arial"/>
      <w:b/>
      <w:szCs w:val="24"/>
      <w:lang w:eastAsia="en-GB"/>
    </w:rPr>
  </w:style>
  <w:style w:type="character" w:styleId="FollowedHyperlink">
    <w:name w:val="FollowedHyperlink"/>
    <w:basedOn w:val="DefaultParagraphFont"/>
    <w:rsid w:val="00B94528"/>
    <w:rPr>
      <w:color w:val="954F72" w:themeColor="followedHyperlink"/>
      <w:u w:val="single"/>
    </w:rPr>
  </w:style>
  <w:style w:type="character" w:customStyle="1" w:styleId="TALCar">
    <w:name w:val="TAL Car"/>
    <w:link w:val="TAL"/>
    <w:qFormat/>
    <w:rsid w:val="008C6CC6"/>
    <w:rPr>
      <w:rFonts w:ascii="Arial" w:hAnsi="Arial"/>
      <w:sz w:val="18"/>
      <w:lang w:eastAsia="en-US"/>
    </w:rPr>
  </w:style>
  <w:style w:type="paragraph" w:styleId="ListParagraph">
    <w:name w:val="List Paragraph"/>
    <w:basedOn w:val="Normal"/>
    <w:uiPriority w:val="34"/>
    <w:qFormat/>
    <w:rsid w:val="00CE57C5"/>
    <w:pPr>
      <w:ind w:left="720"/>
      <w:contextualSpacing/>
    </w:pPr>
  </w:style>
  <w:style w:type="character" w:customStyle="1" w:styleId="EXChar">
    <w:name w:val="EX Char"/>
    <w:link w:val="EX"/>
    <w:qFormat/>
    <w:locked/>
    <w:rsid w:val="00C31914"/>
    <w:rPr>
      <w:lang w:eastAsia="en-US"/>
    </w:rPr>
  </w:style>
  <w:style w:type="character" w:customStyle="1" w:styleId="CommentsChar">
    <w:name w:val="Comments Char"/>
    <w:link w:val="Comments"/>
    <w:qFormat/>
    <w:locked/>
    <w:rsid w:val="004F54BE"/>
    <w:rPr>
      <w:rFonts w:ascii="Arial" w:hAnsi="Arial" w:cs="Arial"/>
      <w:i/>
      <w:noProof/>
      <w:sz w:val="18"/>
      <w:lang w:eastAsia="ja-JP"/>
    </w:rPr>
  </w:style>
  <w:style w:type="paragraph" w:customStyle="1" w:styleId="Comments">
    <w:name w:val="Comments"/>
    <w:basedOn w:val="Normal"/>
    <w:link w:val="CommentsChar"/>
    <w:qFormat/>
    <w:rsid w:val="004F54BE"/>
    <w:pPr>
      <w:overflowPunct w:val="0"/>
      <w:autoSpaceDE w:val="0"/>
      <w:autoSpaceDN w:val="0"/>
      <w:adjustRightInd w:val="0"/>
      <w:spacing w:before="40" w:after="0"/>
    </w:pPr>
    <w:rPr>
      <w:rFonts w:ascii="Arial" w:hAnsi="Arial" w:cs="Arial"/>
      <w:i/>
      <w:noProof/>
      <w:sz w:val="18"/>
      <w:lang w:eastAsia="ja-JP"/>
    </w:rPr>
  </w:style>
  <w:style w:type="paragraph" w:styleId="NormalWeb">
    <w:name w:val="Normal (Web)"/>
    <w:basedOn w:val="Normal"/>
    <w:uiPriority w:val="99"/>
    <w:unhideWhenUsed/>
    <w:rsid w:val="00670015"/>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3702">
      <w:bodyDiv w:val="1"/>
      <w:marLeft w:val="0"/>
      <w:marRight w:val="0"/>
      <w:marTop w:val="0"/>
      <w:marBottom w:val="0"/>
      <w:divBdr>
        <w:top w:val="none" w:sz="0" w:space="0" w:color="auto"/>
        <w:left w:val="none" w:sz="0" w:space="0" w:color="auto"/>
        <w:bottom w:val="none" w:sz="0" w:space="0" w:color="auto"/>
        <w:right w:val="none" w:sz="0" w:space="0" w:color="auto"/>
      </w:divBdr>
    </w:div>
    <w:div w:id="298264237">
      <w:bodyDiv w:val="1"/>
      <w:marLeft w:val="0"/>
      <w:marRight w:val="0"/>
      <w:marTop w:val="0"/>
      <w:marBottom w:val="0"/>
      <w:divBdr>
        <w:top w:val="none" w:sz="0" w:space="0" w:color="auto"/>
        <w:left w:val="none" w:sz="0" w:space="0" w:color="auto"/>
        <w:bottom w:val="none" w:sz="0" w:space="0" w:color="auto"/>
        <w:right w:val="none" w:sz="0" w:space="0" w:color="auto"/>
      </w:divBdr>
    </w:div>
    <w:div w:id="406922830">
      <w:bodyDiv w:val="1"/>
      <w:marLeft w:val="0"/>
      <w:marRight w:val="0"/>
      <w:marTop w:val="0"/>
      <w:marBottom w:val="0"/>
      <w:divBdr>
        <w:top w:val="none" w:sz="0" w:space="0" w:color="auto"/>
        <w:left w:val="none" w:sz="0" w:space="0" w:color="auto"/>
        <w:bottom w:val="none" w:sz="0" w:space="0" w:color="auto"/>
        <w:right w:val="none" w:sz="0" w:space="0" w:color="auto"/>
      </w:divBdr>
    </w:div>
    <w:div w:id="452406273">
      <w:bodyDiv w:val="1"/>
      <w:marLeft w:val="0"/>
      <w:marRight w:val="0"/>
      <w:marTop w:val="0"/>
      <w:marBottom w:val="0"/>
      <w:divBdr>
        <w:top w:val="none" w:sz="0" w:space="0" w:color="auto"/>
        <w:left w:val="none" w:sz="0" w:space="0" w:color="auto"/>
        <w:bottom w:val="none" w:sz="0" w:space="0" w:color="auto"/>
        <w:right w:val="none" w:sz="0" w:space="0" w:color="auto"/>
      </w:divBdr>
    </w:div>
    <w:div w:id="6869055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850569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9147788">
      <w:bodyDiv w:val="1"/>
      <w:marLeft w:val="0"/>
      <w:marRight w:val="0"/>
      <w:marTop w:val="0"/>
      <w:marBottom w:val="0"/>
      <w:divBdr>
        <w:top w:val="none" w:sz="0" w:space="0" w:color="auto"/>
        <w:left w:val="none" w:sz="0" w:space="0" w:color="auto"/>
        <w:bottom w:val="none" w:sz="0" w:space="0" w:color="auto"/>
        <w:right w:val="none" w:sz="0" w:space="0" w:color="auto"/>
      </w:divBdr>
    </w:div>
    <w:div w:id="1247609864">
      <w:bodyDiv w:val="1"/>
      <w:marLeft w:val="0"/>
      <w:marRight w:val="0"/>
      <w:marTop w:val="0"/>
      <w:marBottom w:val="0"/>
      <w:divBdr>
        <w:top w:val="none" w:sz="0" w:space="0" w:color="auto"/>
        <w:left w:val="none" w:sz="0" w:space="0" w:color="auto"/>
        <w:bottom w:val="none" w:sz="0" w:space="0" w:color="auto"/>
        <w:right w:val="none" w:sz="0" w:space="0" w:color="auto"/>
      </w:divBdr>
    </w:div>
    <w:div w:id="1365405977">
      <w:bodyDiv w:val="1"/>
      <w:marLeft w:val="0"/>
      <w:marRight w:val="0"/>
      <w:marTop w:val="0"/>
      <w:marBottom w:val="0"/>
      <w:divBdr>
        <w:top w:val="none" w:sz="0" w:space="0" w:color="auto"/>
        <w:left w:val="none" w:sz="0" w:space="0" w:color="auto"/>
        <w:bottom w:val="none" w:sz="0" w:space="0" w:color="auto"/>
        <w:right w:val="none" w:sz="0" w:space="0" w:color="auto"/>
      </w:divBdr>
    </w:div>
    <w:div w:id="1645502020">
      <w:bodyDiv w:val="1"/>
      <w:marLeft w:val="0"/>
      <w:marRight w:val="0"/>
      <w:marTop w:val="0"/>
      <w:marBottom w:val="0"/>
      <w:divBdr>
        <w:top w:val="none" w:sz="0" w:space="0" w:color="auto"/>
        <w:left w:val="none" w:sz="0" w:space="0" w:color="auto"/>
        <w:bottom w:val="none" w:sz="0" w:space="0" w:color="auto"/>
        <w:right w:val="none" w:sz="0" w:space="0" w:color="auto"/>
      </w:divBdr>
    </w:div>
    <w:div w:id="1787429471">
      <w:bodyDiv w:val="1"/>
      <w:marLeft w:val="0"/>
      <w:marRight w:val="0"/>
      <w:marTop w:val="0"/>
      <w:marBottom w:val="0"/>
      <w:divBdr>
        <w:top w:val="none" w:sz="0" w:space="0" w:color="auto"/>
        <w:left w:val="none" w:sz="0" w:space="0" w:color="auto"/>
        <w:bottom w:val="none" w:sz="0" w:space="0" w:color="auto"/>
        <w:right w:val="none" w:sz="0" w:space="0" w:color="auto"/>
      </w:divBdr>
      <w:divsChild>
        <w:div w:id="1854219512">
          <w:marLeft w:val="0"/>
          <w:marRight w:val="0"/>
          <w:marTop w:val="0"/>
          <w:marBottom w:val="0"/>
          <w:divBdr>
            <w:top w:val="none" w:sz="0" w:space="0" w:color="auto"/>
            <w:left w:val="none" w:sz="0" w:space="0" w:color="auto"/>
            <w:bottom w:val="none" w:sz="0" w:space="0" w:color="auto"/>
            <w:right w:val="none" w:sz="0" w:space="0" w:color="auto"/>
          </w:divBdr>
        </w:div>
        <w:div w:id="1046565266">
          <w:marLeft w:val="0"/>
          <w:marRight w:val="0"/>
          <w:marTop w:val="0"/>
          <w:marBottom w:val="0"/>
          <w:divBdr>
            <w:top w:val="none" w:sz="0" w:space="0" w:color="auto"/>
            <w:left w:val="none" w:sz="0" w:space="0" w:color="auto"/>
            <w:bottom w:val="none" w:sz="0" w:space="0" w:color="auto"/>
            <w:right w:val="none" w:sz="0" w:space="0" w:color="auto"/>
          </w:divBdr>
        </w:div>
      </w:divsChild>
    </w:div>
    <w:div w:id="1889101010">
      <w:bodyDiv w:val="1"/>
      <w:marLeft w:val="0"/>
      <w:marRight w:val="0"/>
      <w:marTop w:val="0"/>
      <w:marBottom w:val="0"/>
      <w:divBdr>
        <w:top w:val="none" w:sz="0" w:space="0" w:color="auto"/>
        <w:left w:val="none" w:sz="0" w:space="0" w:color="auto"/>
        <w:bottom w:val="none" w:sz="0" w:space="0" w:color="auto"/>
        <w:right w:val="none" w:sz="0" w:space="0" w:color="auto"/>
      </w:divBdr>
    </w:div>
    <w:div w:id="206066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0/Docs/R2-2211101.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3_Iu/TSGR3_118/Docs/R3-226101.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3_Iu/TSGR3_119bis-e/Docs/R3-231101.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5AIRPNAIUNRU-859666464-14798</_dlc_DocId>
    <_dlc_DocIdUrl xmlns="71c5aaf6-e6ce-465b-b873-5148d2a4c105">
      <Url>https://nokia.sharepoint.com/sites/c5g/e2earch/_layouts/15/DocIdRedir.aspx?ID=5AIRPNAIUNRU-859666464-14798</Url>
      <Description>5AIRPNAIUNRU-859666464-14798</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A02A1A-D18D-4175-A77E-FCF83F1AE751}">
  <ds:schemaRefs>
    <ds:schemaRef ds:uri="http://schemas.openxmlformats.org/officeDocument/2006/bibliography"/>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6E9E1C19-62D9-4424-9D4C-74CE0B66E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813</Words>
  <Characters>4639</Characters>
  <Application>Microsoft Office Word</Application>
  <DocSecurity>0</DocSecurity>
  <Lines>38</Lines>
  <Paragraphs>10</Paragraphs>
  <ScaleCrop>false</ScaleCrop>
  <Manager/>
  <Company>Nokia</Company>
  <LinksUpToDate>false</LinksUpToDate>
  <CharactersWithSpaces>5442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Lappalainen (Nokia)</dc:creator>
  <cp:keywords/>
  <dc:description/>
  <cp:lastModifiedBy>Andrew Lappalainen (Nokia)</cp:lastModifiedBy>
  <cp:revision>542</cp:revision>
  <dcterms:created xsi:type="dcterms:W3CDTF">2023-05-09T22:30:00Z</dcterms:created>
  <dcterms:modified xsi:type="dcterms:W3CDTF">2023-08-10T23:24:00Z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8c4366fc-bcb3-4d7e-bcbe-4704089e781e</vt:lpwstr>
  </property>
  <property fmtid="{D5CDD505-2E9C-101B-9397-08002B2CF9AE}" pid="4" name="MediaServiceImageTags">
    <vt:lpwstr/>
  </property>
</Properties>
</file>